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ind w:firstLine="0" w:firstLineChars="0"/>
        <w:jc w:val="left"/>
        <w:rPr>
          <w:rFonts w:hint="eastAsia" w:hAnsi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hAnsi="仿宋_GB2312" w:cs="仿宋_GB2312"/>
          <w:b/>
          <w:bCs w:val="0"/>
          <w:sz w:val="24"/>
          <w:szCs w:val="24"/>
          <w:lang w:val="en-US" w:eastAsia="zh-CN"/>
        </w:rPr>
        <w:t>附件1：</w:t>
      </w:r>
    </w:p>
    <w:p>
      <w:pPr>
        <w:pStyle w:val="6"/>
        <w:spacing w:line="440" w:lineRule="exact"/>
        <w:ind w:firstLine="0" w:firstLineChars="0"/>
        <w:jc w:val="left"/>
        <w:rPr>
          <w:rFonts w:hint="default" w:hAnsi="仿宋_GB2312" w:cs="仿宋_GB2312"/>
          <w:b/>
          <w:bCs w:val="0"/>
          <w:sz w:val="24"/>
          <w:szCs w:val="24"/>
          <w:lang w:val="en-US" w:eastAsia="zh-CN"/>
        </w:rPr>
      </w:pPr>
    </w:p>
    <w:p>
      <w:pPr>
        <w:pStyle w:val="6"/>
        <w:numPr>
          <w:ilvl w:val="0"/>
          <w:numId w:val="1"/>
        </w:numPr>
        <w:spacing w:line="440" w:lineRule="exact"/>
        <w:ind w:firstLine="0" w:firstLineChars="0"/>
        <w:jc w:val="left"/>
        <w:rPr>
          <w:rFonts w:hint="eastAsia" w:hAnsi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hAnsi="仿宋_GB2312" w:cs="仿宋_GB2312"/>
          <w:b/>
          <w:bCs w:val="0"/>
          <w:sz w:val="28"/>
          <w:szCs w:val="28"/>
          <w:lang w:val="en-US" w:eastAsia="zh-CN"/>
        </w:rPr>
        <w:t>采购项目需求参数：</w:t>
      </w:r>
    </w:p>
    <w:tbl>
      <w:tblPr>
        <w:tblStyle w:val="4"/>
        <w:tblpPr w:leftFromText="180" w:rightFromText="180" w:vertAnchor="text" w:horzAnchor="page" w:tblpX="1798" w:tblpY="288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条款名称</w:t>
            </w:r>
          </w:p>
        </w:tc>
        <w:tc>
          <w:tcPr>
            <w:tcW w:w="5245" w:type="dxa"/>
            <w:vAlign w:val="center"/>
          </w:tcPr>
          <w:p>
            <w:pPr>
              <w:ind w:firstLine="1928" w:firstLineChars="800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最高单价限价（元/个）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锐器收集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器</w:t>
            </w:r>
          </w:p>
        </w:tc>
        <w:tc>
          <w:tcPr>
            <w:tcW w:w="5245" w:type="dxa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1.2L容量，PP聚丙烯材质，重量≥75g。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2.锐器盒盖带有红色可旋转开关，可左右旋转开合，完全闭合后无法正常打开，安全无毒、防穿刺、不渗漏、易于销毁。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3.盒体黄亮并印有锐器警示标识。</w:t>
            </w: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4.盒体及盒盖材质耐摔、耐撞。</w:t>
            </w:r>
          </w:p>
          <w:p>
            <w:pPr>
              <w:spacing w:line="360" w:lineRule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产品符合医疗废物专用包装袋、容器和警示标志标准（HJ 421-2008）。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2.28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top"/>
          </w:tcPr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1.10L容量，PP聚丙烯材质，容器外部长宽高约25cm*18cm*26cm，重量≥350g。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2.锐器盒盖带有红色可翻转开关，可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val="en-US" w:eastAsia="zh-CN"/>
              </w:rPr>
              <w:t>前后翻转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开合，完全闭合后无法正常打开，安全无毒、防穿刺、不渗漏、易于销毁。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3.盒体黄亮并印有锐器警示标识。</w:t>
            </w: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4.盒体及盒盖材质耐摔、耐撞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产品符合医疗废物专用包装袋、容器和警示标志标准（HJ 421-2008）。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医疗垃圾袋</w:t>
            </w:r>
          </w:p>
        </w:tc>
        <w:tc>
          <w:tcPr>
            <w:tcW w:w="5245" w:type="dxa"/>
            <w:vAlign w:val="top"/>
          </w:tcPr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1.尺寸：背心袋设计，单面尺寸约48cm*50cm，单面厚度≥0.07mm。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2.材质：高强度PE材质，不含PVC,弹力好，承重力强，耐高温高压，不易破，不外漏。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 3.颜色 ：黄色印黑字。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 4.垃圾袋的明显处应印制下图所示的警示标志和警告语。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2984500" cy="1221740"/>
                  <wp:effectExtent l="0" t="0" r="6350" b="165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 ▲5.产品符合医疗废物专用包装袋、容器和警示标志标准（HJ 421-2008），垃圾袋无渗漏，表面基本平整、无褶皱、污渍和杂质，无划痕、气泡、缩孔、针孔以及其他缺陷（需在报告中体现）。提供第三方专业检测认证机构在202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年1月1日之后出具的产品检测报告，检测依据HJ 421-2008医疗废物包装袋、容器和警示标志标准。               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6.特点：拉力好，色泽鲜亮。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7.包装要求：50个/扎，1000个/袋。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0.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top"/>
          </w:tcPr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1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.尺寸：背心袋设计，单面尺寸约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0cm*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0cm，单面厚度≥0.08mm。</w:t>
            </w: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2.材质：高强度PE材质，不含PVC,弹力好，承重力强，耐高温高压，不易破，不外漏。</w:t>
            </w: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3.颜色 ：黄色印黑字。</w:t>
            </w: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581660</wp:posOffset>
                  </wp:positionV>
                  <wp:extent cx="2980690" cy="1223010"/>
                  <wp:effectExtent l="0" t="0" r="10160" b="1524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69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4.垃圾袋的明显处应印制下图所示的警示标志和警告语。</w:t>
            </w: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▲5.产品符合医疗废物专用包装袋、容器和警示标志标准（HJ 421-2008），垃圾袋无渗漏，表面基本平整、无褶皱、污渍和杂质，无划痕、气泡、缩孔、针孔以及其他缺陷（需在报告中体现）。提供第三方专业检测认证机构在2021年1月1日之后出具的产品检测报告，检测依据HJ 421-2008医疗废物包装袋、容器和警示标志标准。               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6.特点：拉力好，色泽鲜亮。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1.74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top"/>
          </w:tcPr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1.尺寸：平口设计，单面尺寸约90cm*100cm，单面厚度≥0.08mm。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2.材质：高强度PE材质，不含PVC,弹力好，承重力强，耐高温高压，不易破，不外漏。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3.颜色 ：黄色印黑字。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4.垃圾袋的明显处应印制下图所示的警示标志和警告语。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2984500" cy="1221740"/>
                  <wp:effectExtent l="0" t="0" r="6350" b="165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▲5.产品符合医疗废物专用包装袋、容器和警示标志标准（HJ 421-2008），垃圾袋无渗漏，表面基本平整、无褶皱、污渍和杂质，无划痕、气泡、缩孔、针孔以及其他缺陷（需在报告中体现）。提供第三方专业检测认证机构在2021年1月1日之后出具的产品检测报告，检测依据HJ 421-2008医疗废物包装袋、容器和警示标志标准。               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6.特点：拉力好，色泽鲜亮，投标时需带上样品。</w:t>
            </w: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7.包装要求：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val="en-US" w:eastAsia="zh-CN"/>
              </w:rPr>
              <w:t>20个/扎，2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00个/袋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样品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shd w:val="clear" w:color="auto" w:fill="FFFFFF"/>
              <w:autoSpaceDE w:val="0"/>
              <w:adjustRightInd w:val="0"/>
              <w:snapToGrid w:val="0"/>
              <w:spacing w:before="100" w:beforeAutospacing="1" w:after="100" w:afterAutospacing="1"/>
              <w:ind w:right="-340" w:rightChars="-162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每样产品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须提供样品各一个，样品要求密封封口处标注公司名称。（样品用于我站评审，不予以退回）。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配送需求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按采购人需求分批送货，原则上三个月订货一次。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ascii="仿宋_GB2312" w:hAnsi="宋体" w:eastAsia="仿宋_GB2312"/>
                <w:kern w:val="0"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本项目以下浮率进行报价，下浮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%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中标单价按四舍五入规则，保留两位小数计算。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付款方法和条件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1.合同签订后，每期配送完成，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成交人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须提供当期货物的配送清单和正式全额发票，采购人收到后15个工作日以人民币转账形式支付当期货物的款项。</w:t>
            </w:r>
          </w:p>
          <w:p>
            <w:pPr>
              <w:spacing w:line="5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2.费用按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下浮率和实际发生数量进行结算：费用结算按实际配送的数量和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下浮率下浮后进行结算（即综合单价=最高单价×（1-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下浮率）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spacing w:line="50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评分标准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b/>
          <w:bCs/>
          <w:sz w:val="28"/>
          <w:szCs w:val="28"/>
        </w:rPr>
      </w:pPr>
    </w:p>
    <w:tbl>
      <w:tblPr>
        <w:tblStyle w:val="3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价格（30分）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生产厂家或配送企业的报价得分=基准价格/投标人报价*30（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人报价最低者定为基准价格，得分保留小数点后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业绩（10分）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人近三年有“锐器收集器或医疗垃圾袋”销售项目，每提供一个业绩得2分，满分10分。不提供，不得分。（合同复印件为准）。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样品（40分）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根据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人所提供的产品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实用性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及安全性进行评比：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①样品的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实用性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、用材安全性高的得31-40分；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②样品的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实用性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、用材安全性较好的21-30分；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③样品的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实用性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、用材安全性一般的得11-20分；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6"/>
              <w:rPr>
                <w:rFonts w:ascii="仿宋_GB2312" w:hAnsi="Times New Roman" w:eastAsia="仿宋_GB2312" w:cs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zh-CN"/>
              </w:rPr>
              <w:t>④样品的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val="zh-CN"/>
              </w:rPr>
              <w:t>实用性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zh-CN"/>
              </w:rPr>
              <w:t>、用材安全性差的得0-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</w:rPr>
              <w:t>10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zh-CN"/>
              </w:rPr>
              <w:t>分。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不提供，不得分。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技术参数响应情况（5）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技术参数响应情况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5分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对用户需求书的响应程度进行评分，满分5分， “▲”参数不满足的，扣5分，扣完为止。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注：对用户需求书带“▲”号的条款，用户需求书要求提供相关证明资料的，则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文件中须提供对应产品技术参数的证明资料。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售后服务 （15分）</w:t>
            </w:r>
          </w:p>
        </w:tc>
        <w:tc>
          <w:tcPr>
            <w:tcW w:w="6804" w:type="dxa"/>
            <w:vAlign w:val="center"/>
          </w:tcPr>
          <w:p>
            <w:pPr>
              <w:autoSpaceDE w:val="0"/>
              <w:autoSpaceDN w:val="0"/>
              <w:adjustRightInd w:val="0"/>
              <w:spacing w:line="312" w:lineRule="auto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对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人的售后服务点设置情况、售后服务承诺及其可行性等情况进行评分：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①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</w:rPr>
              <w:t>根据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人的售后服务点设置情况、售后服务承诺及其可行性评价为优，得15分；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②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</w:rPr>
              <w:t>根据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人的售后服务点设置情况、售后服务承诺及其可行性中，得10分；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③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</w:rPr>
              <w:t>根据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人的售后服务点设置情况、售后服务承诺及其可行性差，得5分；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6A42B"/>
    <w:multiLevelType w:val="singleLevel"/>
    <w:tmpl w:val="8076A4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CFBE32A"/>
    <w:multiLevelType w:val="singleLevel"/>
    <w:tmpl w:val="CCFBE3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6692F"/>
    <w:rsid w:val="1121448A"/>
    <w:rsid w:val="5E330367"/>
    <w:rsid w:val="781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  <w:rPr>
      <w:rFonts w:ascii="Times New Roman" w:hAnsi="Times New Roman"/>
      <w:sz w:val="30"/>
      <w:szCs w:val="30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2025-03-04T03:19:00Z</dcterms:created>
  <dc:creator>XZ</dc:creator>
  <cp:lastModifiedBy>XZ</cp:lastModifiedBy>
  <dcterms:modified xsi:type="dcterms:W3CDTF">2026-03-09T08:35:41Z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0B05891E023D42DCB5A8F7B3BA157A5D</vt:lpwstr>
  </property>
</Properties>
</file>