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40" w:lineRule="exact"/>
        <w:ind w:firstLine="0" w:firstLineChars="0"/>
        <w:jc w:val="left"/>
        <w:rPr>
          <w:rFonts w:hint="eastAsia" w:hAnsi="仿宋_GB2312" w:cs="仿宋_GB2312"/>
          <w:b/>
          <w:bCs w:val="0"/>
          <w:sz w:val="24"/>
          <w:szCs w:val="24"/>
          <w:lang w:val="en-US" w:eastAsia="zh-CN"/>
        </w:rPr>
      </w:pPr>
      <w:r>
        <w:rPr>
          <w:rFonts w:hint="eastAsia" w:hAnsi="仿宋_GB2312" w:cs="仿宋_GB2312"/>
          <w:b/>
          <w:bCs w:val="0"/>
          <w:sz w:val="24"/>
          <w:szCs w:val="24"/>
          <w:lang w:val="en-US" w:eastAsia="zh-CN"/>
        </w:rPr>
        <w:t>附件1：</w:t>
      </w:r>
    </w:p>
    <w:p>
      <w:pPr>
        <w:pStyle w:val="5"/>
        <w:spacing w:line="440" w:lineRule="exact"/>
        <w:ind w:firstLine="0" w:firstLineChars="0"/>
        <w:jc w:val="left"/>
        <w:rPr>
          <w:rFonts w:hint="default" w:hAnsi="仿宋_GB2312" w:cs="仿宋_GB2312"/>
          <w:b/>
          <w:bCs w:val="0"/>
          <w:sz w:val="24"/>
          <w:szCs w:val="24"/>
          <w:lang w:val="en-US" w:eastAsia="zh-CN"/>
        </w:rPr>
      </w:pPr>
    </w:p>
    <w:p>
      <w:pPr>
        <w:pStyle w:val="5"/>
        <w:numPr>
          <w:ilvl w:val="0"/>
          <w:numId w:val="1"/>
        </w:numPr>
        <w:spacing w:line="440" w:lineRule="exact"/>
        <w:ind w:firstLine="0" w:firstLineChars="0"/>
        <w:jc w:val="left"/>
        <w:rPr>
          <w:rFonts w:hint="eastAsia" w:hAnsi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hAnsi="仿宋_GB2312" w:cs="仿宋_GB2312"/>
          <w:b/>
          <w:bCs w:val="0"/>
          <w:sz w:val="28"/>
          <w:szCs w:val="28"/>
          <w:lang w:val="en-US" w:eastAsia="zh-CN"/>
        </w:rPr>
        <w:t>采购项目需求参数：</w:t>
      </w:r>
    </w:p>
    <w:tbl>
      <w:tblPr>
        <w:tblStyle w:val="3"/>
        <w:tblpPr w:leftFromText="180" w:rightFromText="180" w:vertAnchor="text" w:horzAnchor="page" w:tblpX="1798" w:tblpY="288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2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条款名称</w:t>
            </w:r>
          </w:p>
        </w:tc>
        <w:tc>
          <w:tcPr>
            <w:tcW w:w="5245" w:type="dxa"/>
            <w:vAlign w:val="center"/>
          </w:tcPr>
          <w:p>
            <w:pPr>
              <w:ind w:firstLine="1928" w:firstLineChars="800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最高单价限价（元/个）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锐器收集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器</w:t>
            </w:r>
          </w:p>
        </w:tc>
        <w:tc>
          <w:tcPr>
            <w:tcW w:w="5245" w:type="dxa"/>
            <w:vAlign w:val="top"/>
          </w:tcPr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1.2L容量，PP聚丙烯材质，重量≥75g。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2.锐器盒盖带有红色可旋转开关，可左右旋转开合，完全闭合后无法正常打开，安全无毒、防穿刺、不渗漏、易于销毁。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3.盒体黄亮并印有锐器警示标识。</w:t>
            </w: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4.盒体及盒盖材质耐摔、耐撞。</w:t>
            </w:r>
          </w:p>
          <w:p>
            <w:pPr>
              <w:spacing w:line="360" w:lineRule="auto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产品符合医疗废物专用包装袋、容器和警示标志标准（HJ 421-2008）。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3.8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Align w:val="top"/>
          </w:tcPr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1.10L容量，PP聚丙烯材质，容器外部长宽高约25cm*18cm*26cm，重量≥350g。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2.锐器盒盖带有红色可翻转开关，可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  <w:lang w:val="en-US" w:eastAsia="zh-CN"/>
              </w:rPr>
              <w:t>前后翻转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开合，完全闭合后无法正常打开，安全无毒、防穿刺、不渗漏、易于销毁。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3.盒体黄亮并印有锐器警示标识。</w:t>
            </w:r>
          </w:p>
          <w:p>
            <w:pPr>
              <w:spacing w:line="360" w:lineRule="auto"/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4.盒体及盒盖材质耐摔、耐撞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产品符合医疗废物专用包装袋、容器和警示标志标准（HJ 421-2008）。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医疗垃圾袋</w:t>
            </w:r>
          </w:p>
        </w:tc>
        <w:tc>
          <w:tcPr>
            <w:tcW w:w="5245" w:type="dxa"/>
            <w:vAlign w:val="top"/>
          </w:tcPr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1.尺寸：背心袋设计，单面尺寸约48cm*50cm，单面厚度≥0.07mm。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2.材质：高强度PE材质，不含PVC,弹力好，承重力强，耐高温高压，不易破，不外漏。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 xml:space="preserve"> 3.颜色 ：黄色印黑字。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 xml:space="preserve"> 4.垃圾袋的明显处应印制下图所示的警示标志和警告语。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2984500" cy="1221740"/>
                  <wp:effectExtent l="0" t="0" r="6350" b="165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 xml:space="preserve"> ▲5.产品符合医疗废物专用包装袋、容器和警示标志标准（HJ 421-2008），垃圾袋无渗漏，表面基本平整、无褶皱、污渍和杂质，无划痕、气泡、缩孔、针孔以及其他缺陷（需在报告中体现）。提供第三方专业检测认证机构在2021年1月1日之后出具的产品检测报告，检测依据HJ 421-2008医疗废物包装袋、容器和警示标志标准。               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6.特点：拉力好，色泽鲜亮，投标时需带上样品。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7.包装要求：50个/扎，1000个/袋。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0.8元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Align w:val="top"/>
          </w:tcPr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1.尺寸：平口设计，单面尺寸约90cm*100cm，单面厚度≥0.08mm。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2.材质：高强度PE材质，不含PVC,弹力好，承重力强，耐高温高压，不易破，不外漏。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3.颜色 ：黄色印黑字。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4.垃圾袋的明显处应印制下图所示的警示标志和警告语。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2984500" cy="1221740"/>
                  <wp:effectExtent l="0" t="0" r="6350" b="165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 xml:space="preserve">▲5.产品符合医疗废物专用包装袋、容器和警示标志标准（HJ 421-2008），垃圾袋无渗漏，表面基本平整、无褶皱、污渍和杂质，无划痕、气泡、缩孔、针孔以及其他缺陷（需在报告中体现）。提供第三方专业检测认证机构在2021年1月1日之后出具的产品检测报告，检测依据HJ 421-2008医疗废物包装袋、容器和警示标志标准。               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6.特点：拉力好，色泽鲜亮，投标时需带上样品。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7.包装要求：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  <w:lang w:val="en-US" w:eastAsia="zh-CN"/>
              </w:rPr>
              <w:t>20个/扎，2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00个/袋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2.8元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样品</w:t>
            </w:r>
          </w:p>
        </w:tc>
        <w:tc>
          <w:tcPr>
            <w:tcW w:w="6946" w:type="dxa"/>
            <w:gridSpan w:val="2"/>
            <w:vAlign w:val="top"/>
          </w:tcPr>
          <w:p>
            <w:pPr>
              <w:shd w:val="clear" w:color="auto" w:fill="FFFFFF"/>
              <w:autoSpaceDE w:val="0"/>
              <w:adjustRightInd w:val="0"/>
              <w:snapToGrid w:val="0"/>
              <w:spacing w:before="100" w:beforeAutospacing="1" w:after="100" w:afterAutospacing="1"/>
              <w:ind w:right="-340" w:rightChars="-162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每样产品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须提供样品各一个，样品要求密封封口处标注公司名称。（样品用于我站评审，不予以退回）。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配送需求</w:t>
            </w:r>
          </w:p>
        </w:tc>
        <w:tc>
          <w:tcPr>
            <w:tcW w:w="6946" w:type="dxa"/>
            <w:gridSpan w:val="2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4"/>
                <w:szCs w:val="24"/>
              </w:rPr>
              <w:t>按采购人需求分批送货，原则上三个月订货一次。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报价要求</w:t>
            </w:r>
          </w:p>
        </w:tc>
        <w:tc>
          <w:tcPr>
            <w:tcW w:w="6946" w:type="dxa"/>
            <w:gridSpan w:val="2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本项目以下浮率进行报价，下浮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付款方法和条件</w:t>
            </w:r>
          </w:p>
        </w:tc>
        <w:tc>
          <w:tcPr>
            <w:tcW w:w="6946" w:type="dxa"/>
            <w:gridSpan w:val="2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1.合同签订后，每期配送完成，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成交人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须提供当期货物的配送清单和正式全额发票，采购人收到后15个工作日以人民币转账形式支付当期货物的款项。</w:t>
            </w:r>
          </w:p>
          <w:p>
            <w:pPr>
              <w:spacing w:line="5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2.费用按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下浮率和实际发生数量进行结算：费用结算按实际配送的数量和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下浮率下浮后进行结算（即综合单价=最高单价×（1-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下浮率）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spacing w:line="500" w:lineRule="exac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评分标准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numPr>
          <w:numId w:val="0"/>
        </w:numPr>
        <w:spacing w:line="500" w:lineRule="exact"/>
        <w:rPr>
          <w:rFonts w:hint="eastAsia" w:ascii="仿宋_GB2312" w:eastAsia="仿宋_GB2312"/>
          <w:b/>
          <w:bCs/>
          <w:sz w:val="28"/>
          <w:szCs w:val="28"/>
        </w:rPr>
      </w:pPr>
    </w:p>
    <w:tbl>
      <w:tblPr>
        <w:tblStyle w:val="2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价格（30分）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生产厂家或配送企业的报价得分=基准价格/投标人报价*30（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人报价最低者定为基准价格，得分保留小数点后一位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业绩（10分）</w:t>
            </w:r>
          </w:p>
        </w:tc>
        <w:tc>
          <w:tcPr>
            <w:tcW w:w="680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人近三年有“锐器收集器或医疗垃圾袋”销售项目，每提供一个业绩得2分，满分10分。不提供，不得分。（合同复印件为准）。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样品（40分）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根据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人所提供的产品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实用性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及安全性进行评比：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①样品的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实用性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、用材安全性高的得31-40分；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②样品的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实用性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、用材安全性较好的21-30分；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③样品的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实用性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、用材安全性一般的得11-20分；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6"/>
              <w:rPr>
                <w:rFonts w:ascii="仿宋_GB2312" w:hAnsi="Times New Roman" w:eastAsia="仿宋_GB2312" w:cs="宋体"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  <w:lang w:val="zh-CN"/>
              </w:rPr>
              <w:t>④样品的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lang w:val="zh-CN"/>
              </w:rPr>
              <w:t>实用性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  <w:lang w:val="zh-CN"/>
              </w:rPr>
              <w:t>、用材安全性差的得0-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</w:rPr>
              <w:t>10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  <w:lang w:val="zh-CN"/>
              </w:rPr>
              <w:t>分。</w:t>
            </w: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不提供，不得分。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技术参数响应情况（5）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技术参数响应情况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ab/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5分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ab/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对用户需求书的响应程度进行评分，满分5分， “▲”参数不满足的，扣5分，扣完为止。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注：对用户需求书带“▲”号的条款，用户需求书要求提供相关证明资料的，则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文件中须提供对应产品技术参数的证明资料。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售后服务 （15分）</w:t>
            </w:r>
          </w:p>
        </w:tc>
        <w:tc>
          <w:tcPr>
            <w:tcW w:w="6804" w:type="dxa"/>
            <w:vAlign w:val="center"/>
          </w:tcPr>
          <w:p>
            <w:pPr>
              <w:autoSpaceDE w:val="0"/>
              <w:autoSpaceDN w:val="0"/>
              <w:adjustRightInd w:val="0"/>
              <w:spacing w:line="312" w:lineRule="auto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对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人的售后服务点设置情况、售后服务承诺及其可行性等情况进行评分：</w:t>
            </w:r>
          </w:p>
          <w:p>
            <w:pPr>
              <w:autoSpaceDE w:val="0"/>
              <w:autoSpaceDN w:val="0"/>
              <w:adjustRightInd w:val="0"/>
              <w:spacing w:line="312" w:lineRule="auto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①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</w:rPr>
              <w:t>根据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人的售后服务点设置情况、售后服务承诺及其可行性评价为优，得15分；</w:t>
            </w:r>
          </w:p>
          <w:p>
            <w:pPr>
              <w:autoSpaceDE w:val="0"/>
              <w:autoSpaceDN w:val="0"/>
              <w:adjustRightInd w:val="0"/>
              <w:spacing w:line="312" w:lineRule="auto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②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</w:rPr>
              <w:t>根据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人的售后服务点设置情况、售后服务承诺及其可行性中，得10分；</w:t>
            </w:r>
          </w:p>
          <w:p>
            <w:pPr>
              <w:autoSpaceDE w:val="0"/>
              <w:autoSpaceDN w:val="0"/>
              <w:adjustRightInd w:val="0"/>
              <w:spacing w:line="312" w:lineRule="auto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③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</w:rPr>
              <w:t>根据</w:t>
            </w:r>
            <w:r>
              <w:rPr>
                <w:rFonts w:hint="eastAsia" w:ascii="仿宋_GB2312" w:hAnsi="Times New Roman" w:eastAsia="仿宋_GB2312" w:cs="宋体"/>
                <w:bCs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人的售后服务点设置情况、售后服务承诺及其可行性差，得5分；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6A42B"/>
    <w:multiLevelType w:val="singleLevel"/>
    <w:tmpl w:val="8076A4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CFBE32A"/>
    <w:multiLevelType w:val="singleLevel"/>
    <w:tmpl w:val="CCFBE3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6692F"/>
    <w:rsid w:val="5E330367"/>
    <w:rsid w:val="7816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2025-03-04T03:19:00Z</dcterms:created>
  <dc:creator>XZ</dc:creator>
  <cp:lastModifiedBy>XZ</cp:lastModifiedBy>
  <dcterms:modified xsi:type="dcterms:W3CDTF">2025-03-04T03:22:11Z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0B05891E023D42DCB5A8F7B3BA157A5D</vt:lpwstr>
  </property>
</Properties>
</file>