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840"/>
        </w:tabs>
        <w:snapToGrid w:val="0"/>
        <w:spacing w:line="440" w:lineRule="exact"/>
        <w:ind w:firstLine="0" w:firstLineChars="0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附件1：</w:t>
      </w:r>
    </w:p>
    <w:p>
      <w:pPr>
        <w:pStyle w:val="4"/>
        <w:spacing w:line="440" w:lineRule="exact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pStyle w:val="4"/>
        <w:spacing w:line="440" w:lineRule="exact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采购需求</w:t>
      </w:r>
      <w:r>
        <w:rPr>
          <w:rFonts w:hint="eastAsia" w:ascii="宋体" w:eastAsia="宋体" w:cs="宋体"/>
          <w:kern w:val="0"/>
          <w:sz w:val="24"/>
          <w:szCs w:val="24"/>
          <w:lang w:val="en-US" w:eastAsia="zh-CN" w:bidi="ar-SA"/>
        </w:rPr>
        <w:t>：</w:t>
      </w:r>
    </w:p>
    <w:p>
      <w:pPr>
        <w:pStyle w:val="4"/>
        <w:numPr>
          <w:ilvl w:val="0"/>
          <w:numId w:val="1"/>
        </w:numPr>
        <w:spacing w:line="440" w:lineRule="exact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kern w:val="0"/>
          <w:sz w:val="24"/>
          <w:szCs w:val="24"/>
          <w:lang w:val="en-US" w:eastAsia="zh-CN" w:bidi="ar-SA"/>
        </w:rPr>
        <w:t>交货期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eastAsia="宋体" w:cs="宋体"/>
          <w:kern w:val="0"/>
          <w:sz w:val="24"/>
          <w:szCs w:val="24"/>
          <w:lang w:val="en-US" w:eastAsia="zh-CN" w:bidi="ar-SA"/>
        </w:rPr>
        <w:t>接到采购人通知后10天内供货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>
      <w:pPr>
        <w:pStyle w:val="4"/>
        <w:numPr>
          <w:ilvl w:val="0"/>
          <w:numId w:val="1"/>
        </w:numPr>
        <w:spacing w:line="440" w:lineRule="exact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kern w:val="0"/>
          <w:sz w:val="24"/>
          <w:szCs w:val="24"/>
          <w:lang w:val="en-US" w:eastAsia="zh-CN" w:bidi="ar-SA"/>
        </w:rPr>
        <w:t>交货地点：采购人指定地点。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3.付款方法和条件：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3.1合同签订后，每期配送完成，成交服务商须提供当期货物的配送清单和正式全额发票，采购人收到后15个工作日内以人民币转账形式支付当期货物的款项。3.2根据采购人实际需求结算，结算金额=中标单价*对应当期实际供货数量。中标单价在合同执行期间不变；中标单价=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最高单价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限价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×（1-中标下浮率）</w:t>
      </w:r>
    </w:p>
    <w:p>
      <w:pPr>
        <w:numPr>
          <w:ilvl w:val="0"/>
          <w:numId w:val="0"/>
        </w:numPr>
        <w:spacing w:line="500" w:lineRule="exact"/>
        <w:ind w:left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.报价要求：本项目以下浮率进行报价，下浮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%。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报价应当包含货物购置、包装、运输、税费、售后服务等合同履行产生的一切费用。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需求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清单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：</w:t>
      </w:r>
    </w:p>
    <w:tbl>
      <w:tblPr>
        <w:tblStyle w:val="2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"/>
        <w:gridCol w:w="1826"/>
        <w:gridCol w:w="1511"/>
        <w:gridCol w:w="15"/>
        <w:gridCol w:w="780"/>
        <w:gridCol w:w="330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6" w:type="dxa"/>
          <w:trHeight w:val="397" w:hRule="atLeast"/>
          <w:jc w:val="center"/>
        </w:trPr>
        <w:tc>
          <w:tcPr>
            <w:tcW w:w="1826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511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795" w:type="dxa"/>
            <w:gridSpan w:val="2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3300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具体参数</w:t>
            </w:r>
          </w:p>
        </w:tc>
        <w:tc>
          <w:tcPr>
            <w:tcW w:w="1254" w:type="dxa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最高单价限价（元）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6" w:type="dxa"/>
          <w:trHeight w:val="3030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二溴海因消毒粉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上海巴斯德尼生物科技有限公司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50克/瓶</w:t>
            </w:r>
          </w:p>
        </w:tc>
        <w:tc>
          <w:tcPr>
            <w:tcW w:w="330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主要成分：二溴海因；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主要功能：可杀灭肠道致病菌、化脓性球菌、医院感染常见细菌和致病性酵母菌；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有效溴含量45%-55%；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剂型：粉剂；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使用范围：适用于普通物体表面、环境消毒和污水消毒等。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34" w:type="dxa"/>
          <w:trHeight w:val="582" w:hRule="atLeast"/>
          <w:jc w:val="center"/>
        </w:trPr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34" w:type="dxa"/>
          <w:trHeight w:val="582" w:hRule="atLeast"/>
          <w:jc w:val="center"/>
        </w:trPr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34" w:type="dxa"/>
          <w:trHeight w:val="582" w:hRule="atLeast"/>
          <w:jc w:val="center"/>
        </w:trPr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报价公司名称(盖章）：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334" w:type="dxa"/>
          <w:trHeight w:val="582" w:hRule="atLeast"/>
          <w:jc w:val="center"/>
        </w:trPr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报价公司地址：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218BE"/>
    <w:multiLevelType w:val="singleLevel"/>
    <w:tmpl w:val="D95218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1F5717"/>
    <w:multiLevelType w:val="singleLevel"/>
    <w:tmpl w:val="471F57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3732"/>
    <w:rsid w:val="1B4F047C"/>
    <w:rsid w:val="5E330367"/>
    <w:rsid w:val="75C1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2025-03-20T01:18:00Z</dcterms:created>
  <dc:creator>XZ</dc:creator>
  <cp:lastModifiedBy>XZ</cp:lastModifiedBy>
  <dcterms:modified xsi:type="dcterms:W3CDTF">2025-03-20T02:27:11Z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2380D46F8C464E81B7D7531048995B3D</vt:lpwstr>
  </property>
</Properties>
</file>