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exact"/>
        <w:contextualSpacing/>
        <w:rPr>
          <w:rFonts w:hint="eastAsia" w:ascii="方正小标宋简体" w:hAnsi="Calibri Light" w:eastAsia="方正小标宋简体"/>
          <w:bCs/>
          <w:sz w:val="18"/>
          <w:szCs w:val="18"/>
        </w:rPr>
      </w:pPr>
      <w:r>
        <w:rPr>
          <w:rFonts w:hint="eastAsia" w:ascii="方正小标宋简体" w:hAnsi="Calibri Light" w:eastAsia="方正小标宋简体"/>
          <w:bCs/>
          <w:sz w:val="36"/>
          <w:szCs w:val="36"/>
        </w:rPr>
        <w:t>附件1：</w:t>
      </w:r>
    </w:p>
    <w:p>
      <w:pPr>
        <w:autoSpaceDE w:val="0"/>
        <w:autoSpaceDN w:val="0"/>
        <w:adjustRightInd w:val="0"/>
        <w:spacing w:line="360" w:lineRule="exact"/>
        <w:contextualSpacing/>
        <w:rPr>
          <w:rFonts w:hint="eastAsia" w:ascii="方正小标宋简体" w:hAnsi="Calibri Light" w:eastAsia="方正小标宋简体"/>
          <w:bCs/>
          <w:sz w:val="18"/>
          <w:szCs w:val="18"/>
        </w:rPr>
      </w:pPr>
    </w:p>
    <w:p>
      <w:pPr>
        <w:spacing w:line="360" w:lineRule="auto"/>
        <w:ind w:left="420"/>
        <w:rPr>
          <w:rFonts w:ascii="宋体" w:hAnsi="宋体"/>
          <w:b/>
          <w:szCs w:val="21"/>
        </w:rPr>
      </w:pPr>
      <w:bookmarkStart w:id="0" w:name="OLE_LINK1"/>
      <w:r>
        <w:rPr>
          <w:rFonts w:hint="eastAsia" w:ascii="宋体" w:hAnsi="宋体"/>
          <w:b/>
          <w:szCs w:val="21"/>
          <w:lang w:val="en-US" w:eastAsia="zh-CN"/>
        </w:rPr>
        <w:t>一</w:t>
      </w:r>
      <w:r>
        <w:rPr>
          <w:rFonts w:hint="eastAsia" w:ascii="宋体" w:hAnsi="宋体"/>
          <w:b/>
          <w:szCs w:val="21"/>
        </w:rPr>
        <w:t>、采购内容</w:t>
      </w:r>
    </w:p>
    <w:tbl>
      <w:tblPr>
        <w:tblStyle w:val="6"/>
        <w:tblW w:w="8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029"/>
        <w:gridCol w:w="1528"/>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844"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15"/>
              <w:spacing w:line="360" w:lineRule="auto"/>
              <w:ind w:firstLine="0" w:firstLineChars="0"/>
              <w:jc w:val="center"/>
              <w:rPr>
                <w:rFonts w:ascii="宋体" w:eastAsia="宋体"/>
                <w:b/>
                <w:sz w:val="21"/>
                <w:szCs w:val="21"/>
              </w:rPr>
            </w:pPr>
            <w:r>
              <w:rPr>
                <w:rFonts w:hint="eastAsia" w:ascii="宋体" w:eastAsia="宋体"/>
                <w:b/>
                <w:bCs/>
                <w:kern w:val="0"/>
                <w:sz w:val="21"/>
                <w:szCs w:val="21"/>
              </w:rPr>
              <w:t>采购项目内容</w:t>
            </w:r>
          </w:p>
        </w:tc>
        <w:tc>
          <w:tcPr>
            <w:tcW w:w="2029"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15"/>
              <w:spacing w:line="360" w:lineRule="auto"/>
              <w:ind w:firstLine="0" w:firstLineChars="0"/>
              <w:jc w:val="center"/>
              <w:rPr>
                <w:rFonts w:ascii="宋体" w:eastAsia="宋体"/>
                <w:b/>
                <w:sz w:val="21"/>
                <w:szCs w:val="21"/>
              </w:rPr>
            </w:pPr>
            <w:r>
              <w:rPr>
                <w:rFonts w:hint="eastAsia" w:ascii="宋体" w:eastAsia="宋体"/>
                <w:b/>
                <w:sz w:val="21"/>
                <w:szCs w:val="21"/>
              </w:rPr>
              <w:t>采购预算单价（元）</w:t>
            </w:r>
          </w:p>
        </w:tc>
        <w:tc>
          <w:tcPr>
            <w:tcW w:w="1528"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15"/>
              <w:spacing w:line="360" w:lineRule="auto"/>
              <w:ind w:firstLine="0" w:firstLineChars="0"/>
              <w:jc w:val="center"/>
              <w:rPr>
                <w:rFonts w:ascii="宋体" w:eastAsia="宋体"/>
                <w:b/>
                <w:sz w:val="21"/>
                <w:szCs w:val="21"/>
              </w:rPr>
            </w:pPr>
            <w:r>
              <w:rPr>
                <w:rFonts w:hint="eastAsia" w:ascii="宋体" w:eastAsia="宋体"/>
                <w:b/>
                <w:sz w:val="21"/>
                <w:szCs w:val="21"/>
              </w:rPr>
              <w:t>数量（份）</w:t>
            </w:r>
          </w:p>
        </w:tc>
        <w:tc>
          <w:tcPr>
            <w:tcW w:w="1651"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15"/>
              <w:spacing w:line="360" w:lineRule="auto"/>
              <w:ind w:firstLine="0" w:firstLineChars="0"/>
              <w:jc w:val="center"/>
              <w:rPr>
                <w:rFonts w:ascii="宋体" w:eastAsia="宋体"/>
                <w:b/>
                <w:sz w:val="21"/>
                <w:szCs w:val="21"/>
              </w:rPr>
            </w:pPr>
            <w:r>
              <w:rPr>
                <w:rFonts w:hint="eastAsia" w:ascii="宋体" w:eastAsia="宋体"/>
                <w:b/>
                <w:sz w:val="21"/>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44" w:type="dxa"/>
            <w:tcBorders>
              <w:top w:val="nil"/>
              <w:left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rPr>
              <w:t>东莞市中心血站工会委员会电影</w:t>
            </w:r>
            <w:r>
              <w:rPr>
                <w:rFonts w:hint="eastAsia" w:ascii="宋体" w:hAnsi="宋体"/>
                <w:szCs w:val="21"/>
                <w:lang w:val="en-US" w:eastAsia="zh-CN"/>
              </w:rPr>
              <w:t>入场券</w:t>
            </w:r>
            <w:r>
              <w:rPr>
                <w:rFonts w:hint="eastAsia" w:ascii="宋体" w:hAnsi="宋体"/>
                <w:szCs w:val="21"/>
              </w:rPr>
              <w:t>采购</w:t>
            </w:r>
          </w:p>
        </w:tc>
        <w:tc>
          <w:tcPr>
            <w:tcW w:w="2029" w:type="dxa"/>
            <w:tcBorders>
              <w:top w:val="single" w:color="auto" w:sz="4" w:space="0"/>
              <w:left w:val="single" w:color="auto" w:sz="4" w:space="0"/>
              <w:right w:val="single" w:color="auto" w:sz="4" w:space="0"/>
            </w:tcBorders>
            <w:vAlign w:val="center"/>
          </w:tcPr>
          <w:p>
            <w:pPr>
              <w:spacing w:line="360" w:lineRule="auto"/>
              <w:ind w:firstLine="630" w:firstLineChars="300"/>
              <w:jc w:val="both"/>
              <w:rPr>
                <w:rFonts w:hint="default" w:ascii="宋体" w:hAnsi="宋体"/>
                <w:szCs w:val="21"/>
                <w:lang w:val="en-US" w:eastAsia="zh-CN"/>
              </w:rPr>
            </w:pPr>
            <w:r>
              <w:rPr>
                <w:rFonts w:hint="eastAsia" w:ascii="宋体" w:hAnsi="宋体"/>
                <w:szCs w:val="21"/>
                <w:lang w:val="en-US" w:eastAsia="zh-CN"/>
              </w:rPr>
              <w:t>200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both"/>
              <w:rPr>
                <w:rFonts w:hint="default" w:ascii="宋体" w:hAnsi="宋体"/>
                <w:szCs w:val="21"/>
                <w:lang w:val="en-US" w:eastAsia="zh-CN"/>
              </w:rPr>
            </w:pPr>
            <w:r>
              <w:rPr>
                <w:rFonts w:hint="eastAsia" w:ascii="宋体" w:hAnsi="宋体"/>
                <w:szCs w:val="21"/>
                <w:lang w:val="en-US" w:eastAsia="zh-CN"/>
              </w:rPr>
              <w:t>132</w:t>
            </w:r>
          </w:p>
        </w:tc>
        <w:tc>
          <w:tcPr>
            <w:tcW w:w="1651" w:type="dxa"/>
            <w:tcBorders>
              <w:top w:val="single" w:color="auto" w:sz="4" w:space="0"/>
              <w:left w:val="single" w:color="auto" w:sz="4" w:space="0"/>
              <w:right w:val="single" w:color="auto" w:sz="4" w:space="0"/>
            </w:tcBorders>
            <w:vAlign w:val="center"/>
          </w:tcPr>
          <w:p>
            <w:pPr>
              <w:spacing w:line="360" w:lineRule="auto"/>
              <w:ind w:firstLine="420"/>
              <w:jc w:val="both"/>
              <w:rPr>
                <w:rFonts w:hint="default" w:ascii="宋体" w:hAnsi="宋体"/>
                <w:szCs w:val="21"/>
                <w:lang w:val="en-US" w:eastAsia="zh-CN"/>
              </w:rPr>
            </w:pPr>
            <w:r>
              <w:rPr>
                <w:rFonts w:hint="eastAsia" w:ascii="宋体" w:hAnsi="宋体"/>
                <w:szCs w:val="21"/>
                <w:lang w:val="en-US" w:eastAsia="zh-CN"/>
              </w:rPr>
              <w:t>26400.00</w:t>
            </w:r>
          </w:p>
        </w:tc>
      </w:tr>
    </w:tbl>
    <w:p>
      <w:pPr>
        <w:pStyle w:val="16"/>
        <w:ind w:firstLine="422"/>
        <w:rPr>
          <w:rFonts w:ascii="宋体" w:hAnsi="宋体" w:cs="Times New Roman"/>
          <w:b/>
        </w:rPr>
      </w:pPr>
    </w:p>
    <w:p>
      <w:pPr>
        <w:pStyle w:val="16"/>
        <w:ind w:firstLine="422"/>
        <w:rPr>
          <w:rFonts w:ascii="宋体" w:hAnsi="宋体" w:cs="Times New Roman"/>
          <w:b/>
          <w:kern w:val="2"/>
        </w:rPr>
      </w:pPr>
      <w:r>
        <w:rPr>
          <w:rFonts w:hint="eastAsia" w:ascii="宋体" w:hAnsi="宋体" w:cs="Times New Roman"/>
          <w:b/>
          <w:kern w:val="2"/>
          <w:lang w:val="en-US" w:eastAsia="zh-CN"/>
        </w:rPr>
        <w:t>二</w:t>
      </w:r>
      <w:r>
        <w:rPr>
          <w:rFonts w:hint="eastAsia" w:ascii="宋体" w:hAnsi="宋体" w:cs="Times New Roman"/>
          <w:b/>
          <w:kern w:val="2"/>
        </w:rPr>
        <w:t>、会员兑换（购买）方式</w:t>
      </w:r>
    </w:p>
    <w:p>
      <w:pPr>
        <w:spacing w:line="360" w:lineRule="auto"/>
        <w:ind w:firstLine="420"/>
        <w:rPr>
          <w:rFonts w:ascii="宋体" w:hAnsi="宋体"/>
          <w:szCs w:val="21"/>
        </w:rPr>
      </w:pPr>
      <w:r>
        <w:rPr>
          <w:rFonts w:hint="eastAsia" w:ascii="宋体" w:hAnsi="宋体"/>
          <w:szCs w:val="21"/>
        </w:rPr>
        <w:t>通过具有面向全社会公开的、经营成熟的电子商务平台供应商或其他类型企业，提供线上（含手机端）或线下兑换。同时，供应商须承诺无其他增值服务费用，观影购票不产生其他任何手续费用。</w:t>
      </w:r>
    </w:p>
    <w:p>
      <w:pPr>
        <w:spacing w:line="360" w:lineRule="auto"/>
        <w:ind w:firstLine="420"/>
        <w:rPr>
          <w:rFonts w:ascii="宋体" w:hAnsi="宋体"/>
          <w:szCs w:val="21"/>
        </w:rPr>
      </w:pPr>
    </w:p>
    <w:p>
      <w:pPr>
        <w:pStyle w:val="16"/>
        <w:ind w:firstLine="422"/>
        <w:rPr>
          <w:rFonts w:ascii="宋体" w:hAnsi="宋体" w:cs="Times New Roman"/>
          <w:b/>
          <w:kern w:val="2"/>
        </w:rPr>
      </w:pPr>
      <w:r>
        <w:rPr>
          <w:rFonts w:hint="eastAsia" w:ascii="宋体" w:hAnsi="宋体" w:cs="Times New Roman"/>
          <w:b/>
          <w:kern w:val="2"/>
        </w:rPr>
        <w:t>四、供应商采购、服务要求</w:t>
      </w:r>
    </w:p>
    <w:p>
      <w:pPr>
        <w:spacing w:line="360" w:lineRule="auto"/>
        <w:ind w:firstLine="420"/>
        <w:rPr>
          <w:rFonts w:ascii="宋体" w:hAnsi="宋体"/>
          <w:szCs w:val="21"/>
        </w:rPr>
      </w:pPr>
      <w:r>
        <w:rPr>
          <w:rFonts w:hint="eastAsia" w:ascii="宋体" w:hAnsi="宋体"/>
          <w:szCs w:val="21"/>
        </w:rPr>
        <w:t>1.允许会员在限额内组合观影或观看演出。电影和演出电子兑换票在兑换后应显示其剩余可兑换金额，员工在供应商自有线上平台或合作院线兑换电影票和演出时，按标价金额进行抵扣，剩余面值金额可继续进行抵扣使用。优惠折扣直接打入兑换总额度，下订单时如超出兑换额度总额，可允许会员自付超出部分金额。</w:t>
      </w:r>
    </w:p>
    <w:p>
      <w:pPr>
        <w:spacing w:line="360" w:lineRule="auto"/>
        <w:ind w:firstLine="420"/>
        <w:rPr>
          <w:rFonts w:ascii="宋体" w:hAnsi="宋体"/>
          <w:szCs w:val="21"/>
        </w:rPr>
      </w:pPr>
      <w:r>
        <w:rPr>
          <w:rFonts w:hint="eastAsia" w:ascii="宋体" w:hAnsi="宋体"/>
          <w:szCs w:val="21"/>
        </w:rPr>
        <w:t>2.电影票价、演出票价保证在平台兑换服务期间票价不得高于中国主流电商平台(如猫眼、淘票票、大麦网)，场次需一致，不可出现场次屏蔽，兑换不了情况。同一场次电影，用户绑卡前与绑卡后平台的展示价格不可出现价格差；中标人必须保证其平台持卡用户兑换电影票票价在支付时与展示价格一致，不可出现展示价格与实际支付价格不符的情况，无论以何种计价单位(点、豆等)，可用余额与任一场次票价的换算比例必须为1:1。(如:票价为35元等于35点、豆等)。</w:t>
      </w:r>
    </w:p>
    <w:p>
      <w:pPr>
        <w:spacing w:line="360" w:lineRule="auto"/>
        <w:ind w:firstLine="420"/>
        <w:rPr>
          <w:rFonts w:ascii="宋体" w:hAnsi="宋体"/>
          <w:szCs w:val="21"/>
        </w:rPr>
      </w:pPr>
      <w:r>
        <w:rPr>
          <w:rFonts w:hint="eastAsia" w:ascii="宋体" w:hAnsi="宋体"/>
          <w:szCs w:val="21"/>
        </w:rPr>
        <w:t>3.自合同生效起7个工作日内完成电影票和演出兑换指引的制作和兑换短信的发送。兑换使用有效期：合同生效后，至少24个月以上。可免费延期</w:t>
      </w:r>
      <w:r>
        <w:rPr>
          <w:rFonts w:hint="eastAsia" w:ascii="宋体" w:hAnsi="宋体"/>
          <w:szCs w:val="21"/>
          <w:lang w:val="en-US" w:eastAsia="zh-CN"/>
        </w:rPr>
        <w:t>6</w:t>
      </w:r>
      <w:r>
        <w:rPr>
          <w:rFonts w:hint="eastAsia" w:ascii="宋体" w:hAnsi="宋体"/>
          <w:szCs w:val="21"/>
        </w:rPr>
        <w:t>个月以上。</w:t>
      </w:r>
    </w:p>
    <w:p>
      <w:pPr>
        <w:spacing w:line="360" w:lineRule="auto"/>
        <w:ind w:firstLine="420"/>
        <w:rPr>
          <w:rFonts w:ascii="宋体" w:hAnsi="宋体"/>
          <w:szCs w:val="21"/>
        </w:rPr>
      </w:pPr>
      <w:r>
        <w:rPr>
          <w:rFonts w:hint="eastAsia" w:ascii="宋体" w:hAnsi="宋体"/>
          <w:szCs w:val="21"/>
        </w:rPr>
        <w:t>4.兑换券不得设置节假日购票限制，</w:t>
      </w:r>
      <w:r>
        <w:rPr>
          <w:rFonts w:hint="eastAsia" w:ascii="宋体" w:hAnsi="宋体" w:cs="宋体"/>
          <w:szCs w:val="21"/>
        </w:rPr>
        <w:t>不得屏蔽排期、特殊影厅、热门电影，全年皆可正常观影，且观影场次、时间及座次可由用户自主挑选，提供开放式平台</w:t>
      </w:r>
      <w:r>
        <w:rPr>
          <w:rFonts w:hint="eastAsia" w:ascii="宋体" w:hAnsi="宋体"/>
          <w:szCs w:val="21"/>
        </w:rPr>
        <w:t>；因国家疫情防控影响观影时间的，兑换有效期顺延相应时间。</w:t>
      </w:r>
    </w:p>
    <w:p>
      <w:pPr>
        <w:spacing w:line="360" w:lineRule="auto"/>
        <w:ind w:firstLine="420"/>
        <w:rPr>
          <w:rFonts w:ascii="宋体" w:hAnsi="宋体"/>
          <w:szCs w:val="21"/>
        </w:rPr>
      </w:pPr>
      <w:r>
        <w:rPr>
          <w:rFonts w:hint="eastAsia" w:ascii="宋体" w:hAnsi="宋体"/>
          <w:szCs w:val="21"/>
        </w:rPr>
        <w:t>5.实现观看电影和演出权益的在线通兑。可在全国范围内兑换2D、3D、MAX、VIP影厅等电影票以及演出票(演唱会、话剧、歌剧、音乐会、体育比赛、展览休闲、舞蹈芭蕾等)。</w:t>
      </w:r>
    </w:p>
    <w:p>
      <w:pPr>
        <w:spacing w:line="360" w:lineRule="auto"/>
        <w:ind w:firstLine="420"/>
        <w:rPr>
          <w:rFonts w:ascii="宋体" w:hAnsi="宋体"/>
          <w:szCs w:val="21"/>
        </w:rPr>
      </w:pPr>
      <w:r>
        <w:rPr>
          <w:rFonts w:hint="eastAsia" w:ascii="宋体" w:hAnsi="宋体"/>
          <w:szCs w:val="21"/>
        </w:rPr>
        <w:t>6</w:t>
      </w:r>
      <w:r>
        <w:rPr>
          <w:rFonts w:ascii="宋体" w:hAnsi="宋体"/>
          <w:szCs w:val="21"/>
        </w:rPr>
        <w:t>.影视文娱：腾讯、爱奇艺、优酷土豆、芒果TV、PP视频、喜马拉雅、搜狐视频、咪咕、网易云音乐、QQ音乐、虾米音乐、</w:t>
      </w:r>
      <w:r>
        <w:rPr>
          <w:rFonts w:hint="eastAsia" w:ascii="宋体" w:hAnsi="宋体"/>
          <w:szCs w:val="21"/>
        </w:rPr>
        <w:t>哔哩哔哩</w:t>
      </w:r>
      <w:r>
        <w:rPr>
          <w:rFonts w:ascii="宋体" w:hAnsi="宋体"/>
          <w:szCs w:val="21"/>
        </w:rPr>
        <w:t>、樊登读书、知乎</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备注：（1）</w:t>
      </w:r>
      <w:r>
        <w:rPr>
          <w:rFonts w:ascii="宋体" w:hAnsi="宋体"/>
          <w:szCs w:val="21"/>
        </w:rPr>
        <w:t>以上所有视频会员支持手机及PC端兑换</w:t>
      </w:r>
      <w:r>
        <w:rPr>
          <w:rFonts w:hint="eastAsia" w:ascii="宋体" w:hAnsi="宋体"/>
          <w:szCs w:val="21"/>
        </w:rPr>
        <w:t>；（2）</w:t>
      </w:r>
      <w:r>
        <w:rPr>
          <w:rFonts w:ascii="宋体" w:hAnsi="宋体"/>
          <w:szCs w:val="21"/>
        </w:rPr>
        <w:t>腾讯云视听、爱奇艺星钻VIP、酷喵超级影视会员</w:t>
      </w:r>
      <w:r>
        <w:rPr>
          <w:rFonts w:hint="eastAsia" w:ascii="宋体" w:hAnsi="宋体"/>
          <w:szCs w:val="21"/>
        </w:rPr>
        <w:t>同时</w:t>
      </w:r>
      <w:r>
        <w:rPr>
          <w:rFonts w:ascii="宋体" w:hAnsi="宋体"/>
          <w:szCs w:val="21"/>
        </w:rPr>
        <w:t>支持手机及电视</w:t>
      </w:r>
      <w:r>
        <w:rPr>
          <w:rFonts w:hint="eastAsia" w:ascii="宋体" w:hAnsi="宋体"/>
          <w:szCs w:val="21"/>
        </w:rPr>
        <w:t>端。</w:t>
      </w:r>
    </w:p>
    <w:p>
      <w:pPr>
        <w:spacing w:line="360" w:lineRule="auto"/>
        <w:ind w:firstLine="420"/>
        <w:rPr>
          <w:rFonts w:ascii="宋体" w:hAnsi="宋体"/>
          <w:szCs w:val="21"/>
        </w:rPr>
      </w:pPr>
      <w:r>
        <w:rPr>
          <w:rFonts w:hint="eastAsia" w:ascii="宋体" w:hAnsi="宋体"/>
          <w:szCs w:val="21"/>
        </w:rPr>
        <w:t>7.成交供应商需向采购人人员传授正确使用票券的方式并派工作人员上门分发票券。有完善的售后服务体系、方案、应急处理措施等，确保兑换券正常使用。有专人与采购人相关人员对接，并承诺在接到采购人问题反馈后，快速响应，当天问题，当天处理。</w:t>
      </w:r>
    </w:p>
    <w:p>
      <w:pPr>
        <w:spacing w:line="360" w:lineRule="auto"/>
        <w:ind w:firstLine="420"/>
        <w:rPr>
          <w:rFonts w:ascii="宋体" w:hAnsi="宋体"/>
          <w:szCs w:val="21"/>
        </w:rPr>
      </w:pPr>
      <w:r>
        <w:rPr>
          <w:rFonts w:hint="eastAsia" w:ascii="宋体" w:hAnsi="宋体"/>
          <w:szCs w:val="21"/>
        </w:rPr>
        <w:t>8.本项目不得转包、分包。</w:t>
      </w:r>
    </w:p>
    <w:p>
      <w:pPr>
        <w:spacing w:line="360" w:lineRule="auto"/>
        <w:ind w:firstLine="420"/>
        <w:rPr>
          <w:rFonts w:ascii="宋体" w:hAnsi="宋体"/>
          <w:szCs w:val="21"/>
        </w:rPr>
      </w:pPr>
    </w:p>
    <w:p>
      <w:pPr>
        <w:spacing w:line="360" w:lineRule="auto"/>
        <w:ind w:firstLine="420"/>
        <w:rPr>
          <w:rFonts w:ascii="宋体" w:hAnsi="宋体"/>
          <w:b/>
          <w:szCs w:val="21"/>
        </w:rPr>
      </w:pPr>
      <w:r>
        <w:rPr>
          <w:rFonts w:hint="eastAsia" w:ascii="宋体" w:hAnsi="宋体"/>
          <w:b/>
          <w:szCs w:val="21"/>
        </w:rPr>
        <w:t>五、交货地点和交货期</w:t>
      </w:r>
    </w:p>
    <w:p>
      <w:pPr>
        <w:spacing w:line="360" w:lineRule="auto"/>
        <w:ind w:firstLine="420"/>
        <w:rPr>
          <w:rFonts w:ascii="宋体" w:hAnsi="宋体"/>
          <w:szCs w:val="21"/>
        </w:rPr>
      </w:pPr>
      <w:r>
        <w:rPr>
          <w:rFonts w:hint="eastAsia" w:ascii="宋体" w:hAnsi="宋体"/>
          <w:szCs w:val="21"/>
        </w:rPr>
        <w:t>1.交货地点：采购人指定地点。</w:t>
      </w:r>
    </w:p>
    <w:p>
      <w:pPr>
        <w:spacing w:line="360" w:lineRule="auto"/>
        <w:ind w:firstLine="420"/>
        <w:rPr>
          <w:rFonts w:ascii="宋体" w:hAnsi="宋体"/>
          <w:szCs w:val="21"/>
        </w:rPr>
      </w:pPr>
      <w:r>
        <w:rPr>
          <w:rFonts w:hint="eastAsia" w:ascii="宋体" w:hAnsi="宋体"/>
          <w:szCs w:val="21"/>
        </w:rPr>
        <w:t>2.交货期：按采购人实际下单内容交货，成交供应商在收到采购人订单下达指令后7个工作日内送达到采购人指定地点。</w:t>
      </w:r>
    </w:p>
    <w:p>
      <w:pPr>
        <w:spacing w:line="360" w:lineRule="auto"/>
        <w:ind w:firstLine="420"/>
        <w:rPr>
          <w:rFonts w:ascii="宋体" w:hAnsi="宋体"/>
          <w:szCs w:val="21"/>
        </w:rPr>
      </w:pPr>
    </w:p>
    <w:p>
      <w:pPr>
        <w:spacing w:line="360" w:lineRule="auto"/>
        <w:ind w:firstLine="420"/>
        <w:rPr>
          <w:rFonts w:ascii="宋体" w:hAnsi="宋体"/>
          <w:b/>
          <w:szCs w:val="21"/>
        </w:rPr>
      </w:pPr>
      <w:r>
        <w:rPr>
          <w:rFonts w:hint="eastAsia" w:ascii="宋体" w:hAnsi="宋体"/>
          <w:b/>
          <w:szCs w:val="21"/>
        </w:rPr>
        <w:t>六、报价方式及报价内容</w:t>
      </w:r>
    </w:p>
    <w:p>
      <w:pPr>
        <w:spacing w:line="360" w:lineRule="auto"/>
        <w:ind w:firstLine="420"/>
        <w:rPr>
          <w:rFonts w:ascii="宋体" w:hAnsi="宋体"/>
          <w:szCs w:val="21"/>
        </w:rPr>
      </w:pPr>
      <w:r>
        <w:rPr>
          <w:rFonts w:hint="eastAsia" w:ascii="宋体" w:hAnsi="宋体"/>
          <w:szCs w:val="21"/>
        </w:rPr>
        <w:t>1.报价方式：以上浮率报价。</w:t>
      </w:r>
    </w:p>
    <w:p>
      <w:pPr>
        <w:spacing w:line="360" w:lineRule="auto"/>
        <w:ind w:firstLine="420"/>
        <w:rPr>
          <w:rFonts w:ascii="宋体" w:hAnsi="宋体"/>
          <w:szCs w:val="21"/>
        </w:rPr>
      </w:pPr>
      <w:r>
        <w:rPr>
          <w:rFonts w:hint="eastAsia" w:ascii="宋体" w:hAnsi="宋体"/>
          <w:szCs w:val="21"/>
        </w:rPr>
        <w:t>2.报价内容：</w:t>
      </w:r>
    </w:p>
    <w:p>
      <w:pPr>
        <w:spacing w:line="360" w:lineRule="auto"/>
        <w:ind w:firstLine="420"/>
        <w:rPr>
          <w:rFonts w:ascii="宋体" w:hAnsi="宋体"/>
          <w:szCs w:val="21"/>
        </w:rPr>
      </w:pPr>
      <w:r>
        <w:rPr>
          <w:rFonts w:hint="eastAsia" w:ascii="宋体" w:hAnsi="宋体"/>
          <w:szCs w:val="21"/>
        </w:rPr>
        <w:t>（1）本项目针对兑换券券面值以上浮率的形式进行报价（兑换券券面值种类：券面值不得少于</w:t>
      </w:r>
      <w:r>
        <w:rPr>
          <w:rFonts w:hint="eastAsia" w:ascii="宋体" w:hAnsi="宋体"/>
          <w:szCs w:val="21"/>
          <w:lang w:val="en-US" w:eastAsia="zh-CN"/>
        </w:rPr>
        <w:t>200</w:t>
      </w:r>
      <w:r>
        <w:rPr>
          <w:rFonts w:hint="eastAsia" w:ascii="宋体" w:hAnsi="宋体"/>
          <w:szCs w:val="21"/>
        </w:rPr>
        <w:t>元），但实际结算时按照</w:t>
      </w:r>
      <w:r>
        <w:rPr>
          <w:rFonts w:hint="eastAsia" w:ascii="宋体" w:hAnsi="宋体"/>
          <w:szCs w:val="21"/>
          <w:lang w:val="en-US" w:eastAsia="zh-CN"/>
        </w:rPr>
        <w:t>200</w:t>
      </w:r>
      <w:r>
        <w:rPr>
          <w:rFonts w:hint="eastAsia" w:ascii="宋体" w:hAnsi="宋体"/>
          <w:szCs w:val="21"/>
        </w:rPr>
        <w:t>元的预算单价进行结算。</w:t>
      </w:r>
    </w:p>
    <w:p>
      <w:pPr>
        <w:spacing w:line="360" w:lineRule="auto"/>
        <w:ind w:firstLine="420"/>
        <w:rPr>
          <w:rFonts w:ascii="宋体" w:hAnsi="宋体"/>
          <w:szCs w:val="21"/>
        </w:rPr>
      </w:pPr>
      <w:r>
        <w:rPr>
          <w:rFonts w:hint="eastAsia" w:ascii="宋体" w:hAnsi="宋体"/>
          <w:szCs w:val="21"/>
        </w:rPr>
        <w:t>（2）报价应包含货物的购置费、包装费、运输费、人工费、保险费、各种税费、验收费、售后服务费及合同实施过程中的应预见和不可预见费用等完成合同规定责任和义务、达到合同目的的一切费用。</w:t>
      </w:r>
    </w:p>
    <w:p>
      <w:pPr>
        <w:spacing w:line="360" w:lineRule="auto"/>
        <w:ind w:firstLine="420"/>
        <w:rPr>
          <w:rFonts w:ascii="宋体" w:hAnsi="宋体"/>
          <w:szCs w:val="21"/>
        </w:rPr>
      </w:pPr>
    </w:p>
    <w:p>
      <w:pPr>
        <w:spacing w:line="360" w:lineRule="auto"/>
        <w:ind w:firstLine="420"/>
        <w:rPr>
          <w:rFonts w:ascii="宋体" w:hAnsi="宋体"/>
          <w:b/>
          <w:szCs w:val="21"/>
        </w:rPr>
      </w:pPr>
      <w:r>
        <w:rPr>
          <w:rFonts w:hint="eastAsia" w:ascii="宋体" w:hAnsi="宋体"/>
          <w:b/>
          <w:szCs w:val="21"/>
        </w:rPr>
        <w:t>七、结算及付款方式</w:t>
      </w:r>
    </w:p>
    <w:p>
      <w:pPr>
        <w:spacing w:line="360" w:lineRule="auto"/>
        <w:ind w:firstLine="420"/>
        <w:rPr>
          <w:rFonts w:ascii="宋体" w:hAnsi="宋体"/>
          <w:szCs w:val="21"/>
        </w:rPr>
      </w:pPr>
      <w:r>
        <w:rPr>
          <w:rFonts w:hint="eastAsia" w:ascii="宋体" w:hAnsi="宋体"/>
          <w:szCs w:val="21"/>
        </w:rPr>
        <w:t>1.以</w:t>
      </w:r>
      <w:r>
        <w:rPr>
          <w:rFonts w:hint="eastAsia" w:ascii="宋体" w:hAnsi="宋体"/>
          <w:szCs w:val="21"/>
          <w:lang w:val="en-US" w:eastAsia="zh-CN"/>
        </w:rPr>
        <w:t>200</w:t>
      </w:r>
      <w:r>
        <w:rPr>
          <w:rFonts w:hint="eastAsia" w:ascii="宋体" w:hAnsi="宋体"/>
          <w:szCs w:val="21"/>
        </w:rPr>
        <w:t>元的预算单价为基准进行结算，即结算总价=</w:t>
      </w:r>
      <w:r>
        <w:rPr>
          <w:rFonts w:hint="eastAsia" w:ascii="宋体" w:hAnsi="宋体"/>
          <w:szCs w:val="21"/>
          <w:lang w:val="en-US" w:eastAsia="zh-CN"/>
        </w:rPr>
        <w:t>200</w:t>
      </w:r>
      <w:r>
        <w:rPr>
          <w:rFonts w:hint="eastAsia"/>
        </w:rPr>
        <w:t>×对应兑换券数量</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2.合同签订后，成交供应商按采购人实际下单内容交付兑换券、经采购人验收合格后并提供合法有效的等额发票后，采购人在15个工作日内向成交供应商支付全部合同费用。</w:t>
      </w:r>
    </w:p>
    <w:p>
      <w:pPr>
        <w:spacing w:line="360" w:lineRule="auto"/>
        <w:ind w:firstLine="420"/>
        <w:rPr>
          <w:rFonts w:ascii="宋体" w:hAnsi="宋体"/>
          <w:szCs w:val="21"/>
        </w:rPr>
      </w:pPr>
      <w:r>
        <w:rPr>
          <w:rFonts w:hint="eastAsia" w:ascii="宋体" w:hAnsi="宋体"/>
          <w:szCs w:val="21"/>
        </w:rPr>
        <w:t>3.如果成交供应商未及时、正确地提供发票，采购人有权拒绝任何到期应付款，并无需对此承担任何违约责任。</w:t>
      </w:r>
    </w:p>
    <w:p>
      <w:pPr>
        <w:spacing w:line="360" w:lineRule="auto"/>
        <w:ind w:firstLine="420"/>
        <w:rPr>
          <w:rFonts w:ascii="宋体" w:hAnsi="宋体"/>
          <w:szCs w:val="21"/>
        </w:rPr>
      </w:pPr>
      <w:r>
        <w:rPr>
          <w:rFonts w:hint="eastAsia" w:ascii="宋体" w:hAnsi="宋体"/>
          <w:szCs w:val="21"/>
        </w:rPr>
        <w:t>4.成交供应商必须准确提供收款账号，如成交供应商开户行或账号等发生变更，应以书面形式及时通知采购人。如因成交供应商未及时通知采购人导致采购人逾期付款，采购人无需承担任何违约责任。</w:t>
      </w:r>
    </w:p>
    <w:p>
      <w:pPr>
        <w:numPr>
          <w:ilvl w:val="0"/>
          <w:numId w:val="0"/>
        </w:numPr>
        <w:autoSpaceDE w:val="0"/>
        <w:autoSpaceDN w:val="0"/>
        <w:adjustRightInd w:val="0"/>
        <w:spacing w:line="360" w:lineRule="exact"/>
        <w:contextualSpacing/>
        <w:rPr>
          <w:rFonts w:hint="eastAsia" w:ascii="仿宋_GB2312" w:hAnsi="仿宋_GB2312" w:eastAsia="仿宋_GB2312" w:cs="仿宋_GB2312"/>
          <w:b/>
          <w:bCs w:val="0"/>
          <w:sz w:val="30"/>
          <w:szCs w:val="30"/>
        </w:rPr>
      </w:pPr>
    </w:p>
    <w:p>
      <w:pPr>
        <w:widowControl w:val="0"/>
        <w:numPr>
          <w:ilvl w:val="0"/>
          <w:numId w:val="0"/>
        </w:numPr>
        <w:autoSpaceDE w:val="0"/>
        <w:autoSpaceDN w:val="0"/>
        <w:adjustRightInd w:val="0"/>
        <w:spacing w:line="360" w:lineRule="exact"/>
        <w:contextualSpacing/>
        <w:jc w:val="both"/>
        <w:rPr>
          <w:rFonts w:hint="eastAsia" w:ascii="仿宋_GB2312" w:hAnsi="仿宋_GB2312" w:eastAsia="仿宋_GB2312" w:cs="仿宋_GB2312"/>
          <w:b/>
          <w:bCs w:val="0"/>
          <w:sz w:val="30"/>
          <w:szCs w:val="30"/>
        </w:rPr>
      </w:pPr>
    </w:p>
    <w:bookmarkEnd w:id="0"/>
    <w:p>
      <w:pPr>
        <w:autoSpaceDE w:val="0"/>
        <w:autoSpaceDN w:val="0"/>
        <w:adjustRightInd w:val="0"/>
        <w:spacing w:line="440" w:lineRule="exact"/>
        <w:contextualSpacing/>
        <w:rPr>
          <w:rFonts w:hint="eastAsia" w:ascii="黑体" w:hAnsi="黑体" w:eastAsia="黑体"/>
          <w:bCs/>
          <w:sz w:val="28"/>
          <w:szCs w:val="28"/>
        </w:rPr>
      </w:pPr>
      <w:r>
        <w:rPr>
          <w:rFonts w:hint="eastAsia" w:ascii="黑体" w:hAnsi="黑体" w:eastAsia="黑体"/>
          <w:bCs/>
          <w:sz w:val="28"/>
          <w:szCs w:val="28"/>
        </w:rPr>
        <w:t>报价须知：</w:t>
      </w:r>
    </w:p>
    <w:p>
      <w:pPr>
        <w:spacing w:line="360" w:lineRule="auto"/>
        <w:rPr>
          <w:rFonts w:hint="eastAsia" w:ascii="宋体" w:hAnsi="宋体"/>
          <w:sz w:val="28"/>
          <w:szCs w:val="28"/>
        </w:rPr>
      </w:pPr>
      <w:r>
        <w:rPr>
          <w:rFonts w:hint="eastAsia" w:ascii="宋体" w:hAnsi="宋体"/>
          <w:sz w:val="28"/>
          <w:szCs w:val="28"/>
        </w:rPr>
        <w:t>1、本项目招</w:t>
      </w:r>
      <w:r>
        <w:rPr>
          <w:rFonts w:hint="eastAsia" w:ascii="宋体" w:hAnsi="宋体"/>
          <w:sz w:val="28"/>
          <w:szCs w:val="28"/>
          <w:lang w:val="en-US" w:eastAsia="zh-CN"/>
        </w:rPr>
        <w:t>上</w:t>
      </w:r>
      <w:r>
        <w:rPr>
          <w:rFonts w:hint="eastAsia" w:ascii="宋体" w:hAnsi="宋体"/>
          <w:sz w:val="28"/>
          <w:szCs w:val="28"/>
        </w:rPr>
        <w:t>浮率，以最</w:t>
      </w:r>
      <w:r>
        <w:rPr>
          <w:rFonts w:hint="eastAsia" w:ascii="宋体" w:hAnsi="宋体"/>
          <w:sz w:val="28"/>
          <w:szCs w:val="28"/>
          <w:lang w:val="en-US" w:eastAsia="zh-CN"/>
        </w:rPr>
        <w:t>高上</w:t>
      </w:r>
      <w:r>
        <w:rPr>
          <w:rFonts w:hint="eastAsia" w:ascii="宋体" w:hAnsi="宋体"/>
          <w:sz w:val="28"/>
          <w:szCs w:val="28"/>
        </w:rPr>
        <w:t>浮率为成交供应商；</w:t>
      </w:r>
    </w:p>
    <w:p>
      <w:pPr>
        <w:spacing w:line="360" w:lineRule="auto"/>
        <w:rPr>
          <w:rFonts w:hint="eastAsia" w:ascii="宋体" w:hAnsi="宋体"/>
          <w:sz w:val="28"/>
          <w:szCs w:val="28"/>
        </w:rPr>
      </w:pPr>
      <w:r>
        <w:rPr>
          <w:rFonts w:hint="eastAsia" w:ascii="宋体" w:hAnsi="宋体"/>
          <w:sz w:val="28"/>
          <w:szCs w:val="28"/>
        </w:rPr>
        <w:t>2、交货时间：签订合同后</w:t>
      </w:r>
      <w:r>
        <w:rPr>
          <w:rFonts w:hint="eastAsia" w:ascii="宋体" w:hAnsi="宋体"/>
          <w:sz w:val="28"/>
          <w:szCs w:val="28"/>
          <w:lang w:val="en-US" w:eastAsia="zh-CN"/>
        </w:rPr>
        <w:t>7个工作日</w:t>
      </w:r>
      <w:r>
        <w:rPr>
          <w:rFonts w:hint="eastAsia" w:ascii="宋体" w:hAnsi="宋体"/>
          <w:sz w:val="28"/>
          <w:szCs w:val="28"/>
        </w:rPr>
        <w:t>内完成交货；</w:t>
      </w:r>
    </w:p>
    <w:p>
      <w:pPr>
        <w:spacing w:line="360" w:lineRule="auto"/>
        <w:rPr>
          <w:rFonts w:hint="eastAsia" w:ascii="宋体" w:hAnsi="宋体"/>
          <w:sz w:val="28"/>
          <w:szCs w:val="28"/>
          <w:lang w:eastAsia="zh-CN"/>
        </w:rPr>
      </w:pPr>
      <w:r>
        <w:rPr>
          <w:rFonts w:hint="eastAsia" w:ascii="宋体" w:hAnsi="宋体"/>
          <w:sz w:val="28"/>
          <w:szCs w:val="28"/>
        </w:rPr>
        <w:t>3、交货及服务地点：东莞市中心血站或指定地点</w:t>
      </w:r>
      <w:r>
        <w:rPr>
          <w:rFonts w:hint="eastAsia" w:ascii="宋体" w:hAnsi="宋体"/>
          <w:sz w:val="28"/>
          <w:szCs w:val="28"/>
          <w:lang w:eastAsia="zh-CN"/>
        </w:rPr>
        <w:t>。</w:t>
      </w:r>
    </w:p>
    <w:p>
      <w:pPr>
        <w:autoSpaceDE w:val="0"/>
        <w:autoSpaceDN w:val="0"/>
        <w:adjustRightInd w:val="0"/>
        <w:spacing w:line="440" w:lineRule="exact"/>
        <w:contextualSpacing/>
        <w:rPr>
          <w:rFonts w:ascii="仿宋_GB2312" w:hAnsi="Calibri Light" w:eastAsia="仿宋_GB2312"/>
          <w:bCs/>
          <w:sz w:val="24"/>
          <w:szCs w:val="24"/>
        </w:rPr>
      </w:pPr>
    </w:p>
    <w:p>
      <w:pPr>
        <w:autoSpaceDE w:val="0"/>
        <w:autoSpaceDN w:val="0"/>
        <w:adjustRightInd w:val="0"/>
        <w:spacing w:line="440" w:lineRule="exact"/>
        <w:contextualSpacing/>
        <w:rPr>
          <w:rFonts w:ascii="仿宋_GB2312" w:hAnsi="Calibri Light" w:eastAsia="仿宋_GB2312"/>
          <w:bCs/>
          <w:sz w:val="28"/>
          <w:szCs w:val="28"/>
        </w:rPr>
      </w:pPr>
      <w:r>
        <w:rPr>
          <w:rFonts w:hint="eastAsia" w:ascii="仿宋_GB2312" w:hAnsi="Calibri Light" w:eastAsia="仿宋_GB2312"/>
          <w:b/>
          <w:sz w:val="28"/>
          <w:szCs w:val="28"/>
        </w:rPr>
        <w:t>本项目</w:t>
      </w:r>
      <w:r>
        <w:rPr>
          <w:rFonts w:hint="eastAsia" w:ascii="仿宋_GB2312" w:hAnsi="Calibri Light" w:eastAsia="仿宋_GB2312"/>
          <w:b/>
          <w:sz w:val="28"/>
          <w:szCs w:val="28"/>
          <w:lang w:val="en-US" w:eastAsia="zh-CN"/>
        </w:rPr>
        <w:t>单价</w:t>
      </w:r>
      <w:r>
        <w:rPr>
          <w:rFonts w:hint="eastAsia" w:ascii="仿宋_GB2312" w:hAnsi="Calibri Light" w:eastAsia="仿宋_GB2312"/>
          <w:b/>
          <w:sz w:val="28"/>
          <w:szCs w:val="28"/>
        </w:rPr>
        <w:t>的中标</w:t>
      </w:r>
      <w:r>
        <w:rPr>
          <w:rFonts w:hint="eastAsia" w:ascii="仿宋_GB2312" w:hAnsi="Calibri Light" w:eastAsia="仿宋_GB2312"/>
          <w:b/>
          <w:sz w:val="28"/>
          <w:szCs w:val="28"/>
          <w:lang w:val="en-US" w:eastAsia="zh-CN"/>
        </w:rPr>
        <w:t>上</w:t>
      </w:r>
      <w:r>
        <w:rPr>
          <w:rFonts w:hint="eastAsia" w:ascii="仿宋_GB2312" w:hAnsi="Calibri Light" w:eastAsia="仿宋_GB2312"/>
          <w:b/>
          <w:sz w:val="28"/>
          <w:szCs w:val="28"/>
        </w:rPr>
        <w:t>浮率为：</w:t>
      </w:r>
      <w:r>
        <w:rPr>
          <w:rFonts w:hint="eastAsia" w:ascii="仿宋_GB2312" w:hAnsi="Calibri Light" w:eastAsia="仿宋_GB2312"/>
          <w:bCs/>
          <w:sz w:val="28"/>
          <w:szCs w:val="28"/>
          <w:u w:val="single"/>
        </w:rPr>
        <w:t xml:space="preserve">         </w:t>
      </w:r>
      <w:r>
        <w:rPr>
          <w:rFonts w:hint="eastAsia" w:ascii="仿宋_GB2312" w:hAnsi="Calibri Light" w:eastAsia="仿宋_GB2312"/>
          <w:bCs/>
          <w:sz w:val="28"/>
          <w:szCs w:val="28"/>
        </w:rPr>
        <w:t>%</w:t>
      </w:r>
      <w:r>
        <w:rPr>
          <w:rFonts w:hint="eastAsia" w:ascii="仿宋_GB2312" w:hAnsi="Calibri Light" w:eastAsia="仿宋_GB2312"/>
          <w:bCs/>
          <w:sz w:val="28"/>
          <w:szCs w:val="28"/>
          <w:lang w:eastAsia="zh-CN"/>
        </w:rPr>
        <w:t>，</w:t>
      </w:r>
      <w:r>
        <w:rPr>
          <w:rFonts w:hint="eastAsia" w:ascii="仿宋_GB2312" w:hAnsi="Calibri Light" w:eastAsia="仿宋_GB2312"/>
          <w:bCs/>
          <w:sz w:val="28"/>
          <w:szCs w:val="28"/>
          <w:lang w:val="en-US" w:eastAsia="zh-CN"/>
        </w:rPr>
        <w:t>即</w:t>
      </w:r>
      <w:r>
        <w:rPr>
          <w:rFonts w:hint="eastAsia" w:ascii="仿宋_GB2312" w:hAnsi="Calibri Light" w:eastAsia="仿宋_GB2312"/>
          <w:bCs/>
          <w:sz w:val="28"/>
          <w:szCs w:val="28"/>
          <w:u w:val="single"/>
          <w:lang w:val="en-US" w:eastAsia="zh-CN"/>
        </w:rPr>
        <w:t xml:space="preserve">        </w:t>
      </w:r>
      <w:r>
        <w:rPr>
          <w:rFonts w:hint="eastAsia" w:ascii="仿宋_GB2312" w:hAnsi="Calibri Light" w:eastAsia="仿宋_GB2312"/>
          <w:bCs/>
          <w:sz w:val="28"/>
          <w:szCs w:val="28"/>
          <w:u w:val="none"/>
          <w:lang w:val="en-US" w:eastAsia="zh-CN"/>
        </w:rPr>
        <w:t>元/张</w:t>
      </w:r>
      <w:r>
        <w:rPr>
          <w:rFonts w:hint="eastAsia" w:ascii="宋体" w:hAnsi="宋体"/>
          <w:sz w:val="28"/>
          <w:szCs w:val="28"/>
          <w:lang w:val="en-US" w:eastAsia="zh-CN"/>
        </w:rPr>
        <w:t>（四舍五入保留整数</w:t>
      </w:r>
      <w:r>
        <w:rPr>
          <w:rFonts w:hint="eastAsia" w:ascii="宋体" w:hAnsi="宋体"/>
          <w:sz w:val="28"/>
          <w:szCs w:val="28"/>
        </w:rPr>
        <w:t>）（合同价款包含货物的购置费、包装费、</w:t>
      </w:r>
      <w:bookmarkStart w:id="1" w:name="_GoBack"/>
      <w:bookmarkEnd w:id="1"/>
      <w:r>
        <w:rPr>
          <w:rFonts w:hint="eastAsia" w:ascii="宋体" w:hAnsi="宋体"/>
          <w:sz w:val="28"/>
          <w:szCs w:val="28"/>
        </w:rPr>
        <w:t>运输费、人工费、各种税费、售后服务费及合同实施过程中的应预见和不可预见费用等完成合同规定责任和义务、达到合同目的的一切费用</w:t>
      </w:r>
      <w:r>
        <w:rPr>
          <w:rFonts w:hint="eastAsia" w:ascii="仿宋_GB2312" w:hAnsi="Calibri Light" w:eastAsia="仿宋_GB2312"/>
          <w:bCs/>
          <w:sz w:val="28"/>
          <w:szCs w:val="28"/>
        </w:rPr>
        <w:t>。）</w:t>
      </w:r>
    </w:p>
    <w:p>
      <w:pPr>
        <w:autoSpaceDE w:val="0"/>
        <w:autoSpaceDN w:val="0"/>
        <w:adjustRightInd w:val="0"/>
        <w:spacing w:line="440" w:lineRule="exact"/>
        <w:contextualSpacing/>
        <w:rPr>
          <w:rFonts w:hint="eastAsia" w:ascii="宋体" w:hAnsi="宋体"/>
          <w:sz w:val="28"/>
          <w:szCs w:val="28"/>
        </w:rPr>
      </w:pPr>
    </w:p>
    <w:p>
      <w:pPr>
        <w:autoSpaceDE w:val="0"/>
        <w:autoSpaceDN w:val="0"/>
        <w:adjustRightInd w:val="0"/>
        <w:spacing w:line="440" w:lineRule="exact"/>
        <w:contextualSpacing/>
        <w:rPr>
          <w:rFonts w:hint="eastAsia" w:ascii="宋体" w:hAnsi="宋体"/>
          <w:sz w:val="28"/>
          <w:szCs w:val="28"/>
        </w:rPr>
      </w:pPr>
      <w:r>
        <w:rPr>
          <w:rFonts w:hint="eastAsia" w:ascii="宋体" w:hAnsi="宋体"/>
          <w:sz w:val="28"/>
          <w:szCs w:val="28"/>
        </w:rPr>
        <w:t>报价单位（公章）：</w:t>
      </w:r>
    </w:p>
    <w:p>
      <w:pPr>
        <w:autoSpaceDE w:val="0"/>
        <w:autoSpaceDN w:val="0"/>
        <w:adjustRightInd w:val="0"/>
        <w:spacing w:line="440" w:lineRule="exact"/>
        <w:contextualSpacing/>
        <w:rPr>
          <w:rFonts w:hint="eastAsia" w:ascii="宋体" w:hAnsi="宋体"/>
          <w:sz w:val="28"/>
          <w:szCs w:val="28"/>
        </w:rPr>
      </w:pPr>
    </w:p>
    <w:p>
      <w:pPr>
        <w:autoSpaceDE w:val="0"/>
        <w:autoSpaceDN w:val="0"/>
        <w:adjustRightInd w:val="0"/>
        <w:spacing w:line="440" w:lineRule="exact"/>
        <w:contextualSpacing/>
        <w:rPr>
          <w:rFonts w:hint="eastAsia" w:ascii="宋体" w:hAnsi="宋体"/>
          <w:sz w:val="28"/>
          <w:szCs w:val="28"/>
        </w:rPr>
      </w:pPr>
      <w:r>
        <w:rPr>
          <w:rFonts w:hint="eastAsia" w:ascii="宋体" w:hAnsi="宋体"/>
          <w:sz w:val="28"/>
          <w:szCs w:val="28"/>
        </w:rPr>
        <w:t>联系人：</w:t>
      </w:r>
    </w:p>
    <w:p>
      <w:pPr>
        <w:autoSpaceDE w:val="0"/>
        <w:autoSpaceDN w:val="0"/>
        <w:adjustRightInd w:val="0"/>
        <w:spacing w:line="440" w:lineRule="exact"/>
        <w:contextualSpacing/>
        <w:rPr>
          <w:rFonts w:hint="eastAsia" w:ascii="宋体" w:hAnsi="宋体"/>
          <w:sz w:val="28"/>
          <w:szCs w:val="28"/>
        </w:rPr>
      </w:pPr>
    </w:p>
    <w:p>
      <w:pPr>
        <w:autoSpaceDE w:val="0"/>
        <w:autoSpaceDN w:val="0"/>
        <w:adjustRightInd w:val="0"/>
        <w:spacing w:line="440" w:lineRule="exact"/>
        <w:contextualSpacing/>
        <w:rPr>
          <w:rFonts w:hint="eastAsia" w:ascii="宋体" w:hAnsi="宋体"/>
          <w:sz w:val="28"/>
          <w:szCs w:val="28"/>
        </w:rPr>
      </w:pPr>
      <w:r>
        <w:rPr>
          <w:rFonts w:hint="eastAsia" w:ascii="宋体" w:hAnsi="宋体"/>
          <w:sz w:val="28"/>
          <w:szCs w:val="28"/>
        </w:rPr>
        <w:t>联系电话：</w:t>
      </w:r>
    </w:p>
    <w:p>
      <w:pPr>
        <w:autoSpaceDE w:val="0"/>
        <w:autoSpaceDN w:val="0"/>
        <w:adjustRightInd w:val="0"/>
        <w:spacing w:line="440" w:lineRule="exact"/>
        <w:contextualSpacing/>
        <w:rPr>
          <w:rFonts w:hint="eastAsia" w:ascii="宋体" w:hAnsi="宋体"/>
          <w:sz w:val="28"/>
          <w:szCs w:val="28"/>
        </w:rPr>
      </w:pPr>
    </w:p>
    <w:p>
      <w:pPr>
        <w:autoSpaceDE w:val="0"/>
        <w:autoSpaceDN w:val="0"/>
        <w:adjustRightInd w:val="0"/>
        <w:spacing w:line="440" w:lineRule="exact"/>
        <w:contextualSpacing/>
        <w:rPr>
          <w:rFonts w:hint="eastAsia" w:ascii="宋体" w:hAnsi="宋体"/>
          <w:sz w:val="28"/>
          <w:szCs w:val="28"/>
        </w:rPr>
      </w:pPr>
      <w:r>
        <w:rPr>
          <w:rFonts w:hint="eastAsia" w:ascii="宋体" w:hAnsi="宋体"/>
          <w:sz w:val="28"/>
          <w:szCs w:val="28"/>
        </w:rPr>
        <w:t xml:space="preserve">报价日期： </w:t>
      </w:r>
    </w:p>
    <w:sectPr>
      <w:pgSz w:w="11906" w:h="16838"/>
      <w:pgMar w:top="1440" w:right="1123" w:bottom="1440" w:left="114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3"/>
    <w:rsid w:val="00017127"/>
    <w:rsid w:val="00020E33"/>
    <w:rsid w:val="0007069F"/>
    <w:rsid w:val="00074EFB"/>
    <w:rsid w:val="000925B7"/>
    <w:rsid w:val="000A4AC6"/>
    <w:rsid w:val="000E78A4"/>
    <w:rsid w:val="000F2A17"/>
    <w:rsid w:val="00103C50"/>
    <w:rsid w:val="00104B16"/>
    <w:rsid w:val="00123FDB"/>
    <w:rsid w:val="00126BB9"/>
    <w:rsid w:val="001342DB"/>
    <w:rsid w:val="001418E8"/>
    <w:rsid w:val="00142071"/>
    <w:rsid w:val="001A63FC"/>
    <w:rsid w:val="001E4362"/>
    <w:rsid w:val="002162D9"/>
    <w:rsid w:val="00222D1C"/>
    <w:rsid w:val="0023015C"/>
    <w:rsid w:val="002800BD"/>
    <w:rsid w:val="00293205"/>
    <w:rsid w:val="00294F85"/>
    <w:rsid w:val="00296B2B"/>
    <w:rsid w:val="002A5BDB"/>
    <w:rsid w:val="002B20E0"/>
    <w:rsid w:val="003255D3"/>
    <w:rsid w:val="0033238A"/>
    <w:rsid w:val="00355FE9"/>
    <w:rsid w:val="003776C7"/>
    <w:rsid w:val="00386B09"/>
    <w:rsid w:val="0039073E"/>
    <w:rsid w:val="00390933"/>
    <w:rsid w:val="003A0758"/>
    <w:rsid w:val="003B50B7"/>
    <w:rsid w:val="004059F7"/>
    <w:rsid w:val="0041179D"/>
    <w:rsid w:val="00433B28"/>
    <w:rsid w:val="00441A8F"/>
    <w:rsid w:val="00487EBF"/>
    <w:rsid w:val="00494C76"/>
    <w:rsid w:val="004D7369"/>
    <w:rsid w:val="004E0B3A"/>
    <w:rsid w:val="004E0EE1"/>
    <w:rsid w:val="004E59B0"/>
    <w:rsid w:val="004E6DB8"/>
    <w:rsid w:val="005138FC"/>
    <w:rsid w:val="00522BCF"/>
    <w:rsid w:val="005313AA"/>
    <w:rsid w:val="005462B9"/>
    <w:rsid w:val="005465F4"/>
    <w:rsid w:val="00554B9C"/>
    <w:rsid w:val="005634CE"/>
    <w:rsid w:val="00563655"/>
    <w:rsid w:val="00577E69"/>
    <w:rsid w:val="005A2F33"/>
    <w:rsid w:val="005E0DD3"/>
    <w:rsid w:val="005E1AC2"/>
    <w:rsid w:val="006105B5"/>
    <w:rsid w:val="006159D1"/>
    <w:rsid w:val="00615D27"/>
    <w:rsid w:val="00640E27"/>
    <w:rsid w:val="00665695"/>
    <w:rsid w:val="006715CC"/>
    <w:rsid w:val="00682C16"/>
    <w:rsid w:val="00687522"/>
    <w:rsid w:val="006A39CB"/>
    <w:rsid w:val="006D15A2"/>
    <w:rsid w:val="006E64F6"/>
    <w:rsid w:val="00701934"/>
    <w:rsid w:val="00741354"/>
    <w:rsid w:val="00747BD5"/>
    <w:rsid w:val="007B6D07"/>
    <w:rsid w:val="007E04CE"/>
    <w:rsid w:val="007F0412"/>
    <w:rsid w:val="00853E62"/>
    <w:rsid w:val="00854265"/>
    <w:rsid w:val="008764EF"/>
    <w:rsid w:val="00881502"/>
    <w:rsid w:val="0089239F"/>
    <w:rsid w:val="008935D1"/>
    <w:rsid w:val="008D1D76"/>
    <w:rsid w:val="00935A0B"/>
    <w:rsid w:val="009518B8"/>
    <w:rsid w:val="00962266"/>
    <w:rsid w:val="009A2819"/>
    <w:rsid w:val="00A0389E"/>
    <w:rsid w:val="00A05E86"/>
    <w:rsid w:val="00A20161"/>
    <w:rsid w:val="00A833AD"/>
    <w:rsid w:val="00A86C93"/>
    <w:rsid w:val="00AA037A"/>
    <w:rsid w:val="00AA5AF9"/>
    <w:rsid w:val="00AC66AA"/>
    <w:rsid w:val="00AE560E"/>
    <w:rsid w:val="00AF6114"/>
    <w:rsid w:val="00B14AE7"/>
    <w:rsid w:val="00B22680"/>
    <w:rsid w:val="00B411B1"/>
    <w:rsid w:val="00B65A54"/>
    <w:rsid w:val="00B87180"/>
    <w:rsid w:val="00BA13E8"/>
    <w:rsid w:val="00BC51CE"/>
    <w:rsid w:val="00BD056B"/>
    <w:rsid w:val="00BF40E8"/>
    <w:rsid w:val="00C2421E"/>
    <w:rsid w:val="00C36D13"/>
    <w:rsid w:val="00C7303D"/>
    <w:rsid w:val="00C91271"/>
    <w:rsid w:val="00CA27C7"/>
    <w:rsid w:val="00D24ECE"/>
    <w:rsid w:val="00D57E84"/>
    <w:rsid w:val="00D77675"/>
    <w:rsid w:val="00D8503B"/>
    <w:rsid w:val="00D9285D"/>
    <w:rsid w:val="00DB1613"/>
    <w:rsid w:val="00DE561B"/>
    <w:rsid w:val="00DF1430"/>
    <w:rsid w:val="00DF6A0D"/>
    <w:rsid w:val="00E90DCD"/>
    <w:rsid w:val="00EA3D6F"/>
    <w:rsid w:val="00EC57DB"/>
    <w:rsid w:val="00ED4A91"/>
    <w:rsid w:val="00F104BD"/>
    <w:rsid w:val="00F26DA6"/>
    <w:rsid w:val="00F275A3"/>
    <w:rsid w:val="00F30CA7"/>
    <w:rsid w:val="00F566FB"/>
    <w:rsid w:val="00F77885"/>
    <w:rsid w:val="00F833CD"/>
    <w:rsid w:val="00FA656A"/>
    <w:rsid w:val="00FB0B07"/>
    <w:rsid w:val="00FF5F07"/>
    <w:rsid w:val="00FF748F"/>
    <w:rsid w:val="02626DF9"/>
    <w:rsid w:val="09E75B20"/>
    <w:rsid w:val="0B435A6B"/>
    <w:rsid w:val="1196337D"/>
    <w:rsid w:val="154176AA"/>
    <w:rsid w:val="171C2EF9"/>
    <w:rsid w:val="178C323A"/>
    <w:rsid w:val="1DAC1829"/>
    <w:rsid w:val="25A92788"/>
    <w:rsid w:val="2A2224CC"/>
    <w:rsid w:val="2D4F12E5"/>
    <w:rsid w:val="300C66A0"/>
    <w:rsid w:val="30310148"/>
    <w:rsid w:val="30492388"/>
    <w:rsid w:val="403C19AB"/>
    <w:rsid w:val="417F15DD"/>
    <w:rsid w:val="46BA2A68"/>
    <w:rsid w:val="4D72008E"/>
    <w:rsid w:val="4F4D5104"/>
    <w:rsid w:val="585A647C"/>
    <w:rsid w:val="61915F5F"/>
    <w:rsid w:val="665D3D13"/>
    <w:rsid w:val="68B2538E"/>
    <w:rsid w:val="71BF02AD"/>
    <w:rsid w:val="75C44C38"/>
    <w:rsid w:val="779208F4"/>
    <w:rsid w:val="79B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libri Light" w:hAnsi="Calibri Light"/>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ind w:left="138"/>
    </w:pPr>
    <w:rPr>
      <w:rFonts w:hint="eastAsia" w:ascii="宋体" w:cs="宋体"/>
      <w:sz w:val="24"/>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2 Char"/>
    <w:basedOn w:val="7"/>
    <w:semiHidden/>
    <w:qFormat/>
    <w:uiPriority w:val="9"/>
    <w:rPr>
      <w:rFonts w:ascii="Cambria" w:hAnsi="Cambria" w:eastAsia="宋体"/>
      <w:b/>
      <w:bCs/>
      <w:sz w:val="32"/>
      <w:szCs w:val="32"/>
    </w:rPr>
  </w:style>
  <w:style w:type="character" w:customStyle="1" w:styleId="12">
    <w:name w:val="标题 2 字符"/>
    <w:link w:val="2"/>
    <w:qFormat/>
    <w:uiPriority w:val="9"/>
    <w:rPr>
      <w:rFonts w:ascii="Calibri Light" w:hAnsi="Calibri Light" w:eastAsia="宋体" w:cs="Times New Roman"/>
      <w:b/>
      <w:bCs/>
      <w:sz w:val="32"/>
      <w:szCs w:val="32"/>
    </w:rPr>
  </w:style>
  <w:style w:type="character" w:customStyle="1" w:styleId="13">
    <w:name w:val="font11"/>
    <w:basedOn w:val="7"/>
    <w:qFormat/>
    <w:uiPriority w:val="0"/>
    <w:rPr>
      <w:rFonts w:hint="eastAsia" w:ascii="宋体" w:hAnsi="宋体" w:eastAsia="宋体" w:cs="宋体"/>
      <w:color w:val="000000"/>
      <w:sz w:val="21"/>
      <w:szCs w:val="21"/>
      <w:u w:val="none"/>
    </w:rPr>
  </w:style>
  <w:style w:type="paragraph" w:customStyle="1" w:styleId="14">
    <w:name w:val="Table Paragraph"/>
    <w:basedOn w:val="1"/>
    <w:unhideWhenUsed/>
    <w:qFormat/>
    <w:uiPriority w:val="1"/>
    <w:rPr>
      <w:rFonts w:hint="eastAsia"/>
      <w:sz w:val="24"/>
      <w:szCs w:val="24"/>
    </w:rPr>
  </w:style>
  <w:style w:type="paragraph" w:customStyle="1" w:styleId="15">
    <w:name w:val="正文缩进2格"/>
    <w:basedOn w:val="1"/>
    <w:qFormat/>
    <w:uiPriority w:val="0"/>
    <w:pPr>
      <w:spacing w:after="120" w:line="600" w:lineRule="exact"/>
      <w:ind w:firstLine="639" w:firstLineChars="206"/>
    </w:pPr>
    <w:rPr>
      <w:rFonts w:ascii="仿宋_GB2312" w:hAnsi="宋体" w:eastAsia="仿宋_GB2312"/>
      <w:sz w:val="31"/>
      <w:szCs w:val="28"/>
    </w:rPr>
  </w:style>
  <w:style w:type="paragraph" w:customStyle="1" w:styleId="16">
    <w:name w:val="列出段落5"/>
    <w:basedOn w:val="1"/>
    <w:qFormat/>
    <w:uiPriority w:val="0"/>
    <w:pPr>
      <w:widowControl/>
      <w:spacing w:line="360" w:lineRule="auto"/>
      <w:ind w:firstLine="420" w:firstLineChars="200"/>
      <w:jc w:val="left"/>
    </w:pPr>
    <w:rPr>
      <w:rFonts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104</Words>
  <Characters>598</Characters>
  <Lines>4</Lines>
  <Paragraphs>1</Paragraphs>
  <TotalTime>8</TotalTime>
  <ScaleCrop>false</ScaleCrop>
  <LinksUpToDate>false</LinksUpToDate>
  <CharactersWithSpaces>701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2025-03-05T04:38:00Z</dcterms:created>
  <dc:creator>张兆晴</dc:creator>
  <cp:lastModifiedBy>XZ</cp:lastModifiedBy>
  <cp:lastPrinted>2021-07-12T01:48:00Z</cp:lastPrinted>
  <dcterms:modified xsi:type="dcterms:W3CDTF">2025-12-09T01:00:49Z</dcterms:modified>
  <dc:title>东莞市中心血站所需日用品询价表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D52CDC4C9FF34CC2B2D4A20EDA1E3ACA</vt:lpwstr>
  </property>
</Properties>
</file>