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C44C8">
      <w:pPr>
        <w:snapToGrid w:val="0"/>
        <w:spacing w:before="156" w:beforeLines="50"/>
        <w:jc w:val="center"/>
        <w:rPr>
          <w:rFonts w:ascii="宋体" w:hAnsi="宋体"/>
          <w:b/>
          <w:color w:val="000000"/>
          <w:sz w:val="84"/>
          <w:szCs w:val="84"/>
        </w:rPr>
      </w:pPr>
      <w:bookmarkStart w:id="77" w:name="_GoBack"/>
      <w:bookmarkEnd w:id="77"/>
    </w:p>
    <w:p w14:paraId="4CF30DC0">
      <w:pPr>
        <w:spacing w:line="360" w:lineRule="auto"/>
        <w:jc w:val="center"/>
        <w:rPr>
          <w:rFonts w:ascii="宋体" w:hAnsi="宋体"/>
          <w:color w:val="000000"/>
          <w:sz w:val="30"/>
          <w:szCs w:val="30"/>
        </w:rPr>
      </w:pPr>
      <w:r>
        <w:rPr>
          <w:rFonts w:hint="eastAsia" w:ascii="宋体" w:hAnsi="宋体"/>
          <w:b/>
          <w:sz w:val="84"/>
          <w:szCs w:val="84"/>
        </w:rPr>
        <w:t>零散采购文件</w:t>
      </w:r>
      <w:r>
        <w:rPr>
          <w:rFonts w:hint="eastAsia" w:ascii="宋体" w:hAnsi="宋体"/>
          <w:b/>
          <w:bCs/>
          <w:color w:val="000000"/>
          <w:sz w:val="24"/>
        </w:rPr>
        <w:t xml:space="preserve"> </w:t>
      </w:r>
    </w:p>
    <w:p w14:paraId="4B72E283">
      <w:pPr>
        <w:spacing w:line="360" w:lineRule="auto"/>
        <w:rPr>
          <w:rFonts w:ascii="宋体" w:hAnsi="宋体"/>
          <w:color w:val="000000"/>
          <w:sz w:val="30"/>
          <w:szCs w:val="30"/>
        </w:rPr>
      </w:pPr>
    </w:p>
    <w:p w14:paraId="472D13D4">
      <w:pPr>
        <w:spacing w:line="360" w:lineRule="auto"/>
        <w:rPr>
          <w:rFonts w:ascii="宋体" w:hAnsi="宋体"/>
          <w:color w:val="000000"/>
          <w:sz w:val="30"/>
          <w:szCs w:val="30"/>
        </w:rPr>
      </w:pPr>
    </w:p>
    <w:p w14:paraId="0C3B403D">
      <w:pPr>
        <w:spacing w:line="360" w:lineRule="auto"/>
        <w:rPr>
          <w:rFonts w:ascii="宋体" w:hAnsi="宋体"/>
          <w:color w:val="000000"/>
          <w:sz w:val="30"/>
          <w:szCs w:val="30"/>
        </w:rPr>
      </w:pPr>
    </w:p>
    <w:p w14:paraId="7129D585">
      <w:pPr>
        <w:rPr>
          <w:rFonts w:ascii="宋体" w:hAnsi="宋体" w:cs="宋体"/>
          <w:b/>
          <w:sz w:val="28"/>
          <w:szCs w:val="28"/>
        </w:rPr>
      </w:pPr>
      <w:r>
        <w:rPr>
          <w:rFonts w:hint="eastAsia" w:ascii="宋体" w:hAnsi="宋体" w:cs="宋体"/>
          <w:b/>
          <w:sz w:val="28"/>
          <w:szCs w:val="28"/>
        </w:rPr>
        <w:t>采购方式：综合评审</w:t>
      </w:r>
    </w:p>
    <w:p w14:paraId="3BFB552D">
      <w:pPr>
        <w:rPr>
          <w:rFonts w:ascii="宋体" w:hAnsi="宋体" w:cs="宋体"/>
          <w:b/>
          <w:sz w:val="28"/>
          <w:szCs w:val="28"/>
        </w:rPr>
      </w:pPr>
      <w:r>
        <w:rPr>
          <w:rFonts w:hint="eastAsia" w:ascii="宋体" w:hAnsi="宋体" w:cs="宋体"/>
          <w:b/>
          <w:sz w:val="28"/>
          <w:szCs w:val="28"/>
        </w:rPr>
        <w:t>项目名称：公共卫生检验管理系统2026-2027年运维服务项目</w:t>
      </w:r>
    </w:p>
    <w:p w14:paraId="516F520A">
      <w:pPr>
        <w:rPr>
          <w:rFonts w:ascii="宋体" w:hAnsi="宋体" w:cs="方正仿宋_GBK"/>
          <w:b/>
          <w:sz w:val="28"/>
          <w:szCs w:val="28"/>
        </w:rPr>
      </w:pPr>
    </w:p>
    <w:p w14:paraId="03183751">
      <w:pPr>
        <w:rPr>
          <w:rFonts w:ascii="宋体" w:hAnsi="宋体" w:cs="方正仿宋_GBK"/>
          <w:b/>
          <w:kern w:val="0"/>
          <w:sz w:val="28"/>
          <w:szCs w:val="28"/>
        </w:rPr>
      </w:pPr>
    </w:p>
    <w:p w14:paraId="1E10E78D">
      <w:pPr>
        <w:pStyle w:val="2"/>
      </w:pPr>
    </w:p>
    <w:p w14:paraId="6F8FDE04"/>
    <w:p w14:paraId="1FFA6E40">
      <w:pPr>
        <w:pStyle w:val="16"/>
        <w:ind w:firstLine="400"/>
      </w:pPr>
    </w:p>
    <w:p w14:paraId="6DE47372">
      <w:pPr>
        <w:rPr>
          <w:rFonts w:ascii="宋体" w:hAnsi="宋体" w:cs="方正仿宋_GBK"/>
          <w:b/>
          <w:kern w:val="0"/>
          <w:sz w:val="28"/>
          <w:szCs w:val="28"/>
        </w:rPr>
      </w:pPr>
    </w:p>
    <w:p w14:paraId="3E974A32">
      <w:pPr>
        <w:jc w:val="center"/>
        <w:rPr>
          <w:rFonts w:ascii="宋体" w:hAnsi="宋体"/>
          <w:b/>
          <w:sz w:val="28"/>
          <w:szCs w:val="28"/>
        </w:rPr>
      </w:pPr>
      <w:r>
        <w:rPr>
          <w:rFonts w:hint="eastAsia" w:ascii="宋体" w:hAnsi="宋体"/>
          <w:b/>
          <w:sz w:val="28"/>
          <w:szCs w:val="28"/>
        </w:rPr>
        <w:t>东莞市疾病预防控制中心（东莞市卫生监督所）</w:t>
      </w:r>
    </w:p>
    <w:p w14:paraId="3067982B">
      <w:pPr>
        <w:jc w:val="center"/>
        <w:rPr>
          <w:rFonts w:ascii="宋体" w:hAnsi="宋体"/>
          <w:b/>
          <w:sz w:val="28"/>
          <w:szCs w:val="28"/>
        </w:rPr>
      </w:pPr>
      <w:r>
        <w:rPr>
          <w:rFonts w:ascii="宋体" w:hAnsi="宋体"/>
          <w:b/>
          <w:sz w:val="28"/>
          <w:szCs w:val="28"/>
        </w:rPr>
        <w:t>云采链（广州）信息科技有限公司</w:t>
      </w:r>
    </w:p>
    <w:p w14:paraId="07726522">
      <w:pPr>
        <w:jc w:val="center"/>
        <w:rPr>
          <w:rFonts w:ascii="宋体" w:hAnsi="宋体"/>
          <w:b/>
          <w:sz w:val="28"/>
          <w:szCs w:val="28"/>
        </w:rPr>
      </w:pPr>
      <w:r>
        <w:rPr>
          <w:rFonts w:hint="eastAsia" w:ascii="宋体" w:hAnsi="宋体"/>
          <w:b/>
          <w:sz w:val="28"/>
          <w:szCs w:val="28"/>
        </w:rPr>
        <w:t>二〇二六年九</w:t>
      </w:r>
      <w:r>
        <w:rPr>
          <w:rFonts w:ascii="宋体" w:hAnsi="宋体"/>
          <w:b/>
          <w:sz w:val="28"/>
          <w:szCs w:val="28"/>
        </w:rPr>
        <w:t>月</w:t>
      </w:r>
    </w:p>
    <w:p w14:paraId="29497356">
      <w:pPr>
        <w:autoSpaceDE w:val="0"/>
        <w:autoSpaceDN w:val="0"/>
        <w:adjustRightInd w:val="0"/>
        <w:snapToGrid w:val="0"/>
        <w:spacing w:line="360" w:lineRule="auto"/>
        <w:ind w:left="420" w:firstLine="420"/>
        <w:jc w:val="center"/>
        <w:rPr>
          <w:rFonts w:ascii="宋体" w:hAnsi="宋体"/>
          <w:color w:val="000000"/>
          <w:sz w:val="28"/>
        </w:rPr>
      </w:pPr>
    </w:p>
    <w:p w14:paraId="145D0D20">
      <w:pPr>
        <w:autoSpaceDE w:val="0"/>
        <w:autoSpaceDN w:val="0"/>
        <w:adjustRightInd w:val="0"/>
        <w:snapToGrid w:val="0"/>
        <w:spacing w:line="360" w:lineRule="auto"/>
        <w:ind w:left="420" w:firstLine="420"/>
        <w:jc w:val="center"/>
        <w:rPr>
          <w:rFonts w:ascii="宋体" w:hAnsi="宋体"/>
          <w:b/>
          <w:bCs/>
          <w:color w:val="000000"/>
          <w:sz w:val="28"/>
          <w:szCs w:val="32"/>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14:paraId="1B818CD9">
      <w:pPr>
        <w:jc w:val="center"/>
        <w:outlineLvl w:val="0"/>
        <w:rPr>
          <w:rFonts w:ascii="宋体" w:hAnsi="宋体"/>
          <w:b/>
          <w:bCs/>
          <w:kern w:val="0"/>
          <w:sz w:val="32"/>
          <w:szCs w:val="32"/>
        </w:rPr>
      </w:pPr>
      <w:r>
        <w:rPr>
          <w:rFonts w:hint="eastAsia" w:ascii="宋体" w:hAnsi="宋体" w:cs="宋体"/>
          <w:b/>
          <w:bCs/>
          <w:kern w:val="0"/>
          <w:sz w:val="32"/>
          <w:szCs w:val="32"/>
        </w:rPr>
        <w:t>第一章 零散采购须知</w:t>
      </w:r>
    </w:p>
    <w:p w14:paraId="2E51CA19">
      <w:pPr>
        <w:pStyle w:val="32"/>
        <w:numPr>
          <w:ilvl w:val="0"/>
          <w:numId w:val="1"/>
        </w:numPr>
        <w:spacing w:line="360" w:lineRule="auto"/>
        <w:ind w:firstLineChars="0"/>
        <w:rPr>
          <w:rFonts w:ascii="宋体" w:hAnsi="宋体" w:cs="宋体"/>
        </w:rPr>
      </w:pPr>
      <w:r>
        <w:rPr>
          <w:rFonts w:hint="eastAsia" w:ascii="宋体" w:hAnsi="宋体" w:cs="宋体"/>
        </w:rPr>
        <w:t>本项目通过云采链线上采购一体化平台进行</w:t>
      </w:r>
      <w:r>
        <w:rPr>
          <w:rFonts w:hint="eastAsia" w:ascii="宋体" w:hAnsi="宋体" w:cs="宋体"/>
          <w:kern w:val="0"/>
        </w:rPr>
        <w:t>零散采购</w:t>
      </w:r>
      <w:r>
        <w:rPr>
          <w:rFonts w:hint="eastAsia" w:ascii="宋体" w:hAnsi="宋体" w:cs="宋体"/>
        </w:rPr>
        <w:t>，参与项目的供应商必须登录平台进行注册，注册成功后方可参与项目。</w:t>
      </w:r>
    </w:p>
    <w:p w14:paraId="222DAFF7">
      <w:pPr>
        <w:widowControl/>
        <w:numPr>
          <w:ilvl w:val="0"/>
          <w:numId w:val="1"/>
        </w:numPr>
        <w:spacing w:line="360" w:lineRule="auto"/>
        <w:jc w:val="left"/>
        <w:rPr>
          <w:rFonts w:ascii="宋体" w:hAnsi="宋体" w:cs="宋体"/>
        </w:rPr>
      </w:pPr>
      <w:r>
        <w:rPr>
          <w:rFonts w:hint="eastAsia" w:ascii="宋体" w:hAnsi="宋体" w:cs="宋体"/>
        </w:rPr>
        <w:t>语言要求</w:t>
      </w:r>
    </w:p>
    <w:p w14:paraId="699C45E3">
      <w:pPr>
        <w:widowControl/>
        <w:spacing w:line="360" w:lineRule="auto"/>
        <w:ind w:left="420"/>
        <w:jc w:val="left"/>
        <w:rPr>
          <w:rFonts w:ascii="宋体" w:hAnsi="宋体"/>
        </w:rPr>
      </w:pPr>
      <w:r>
        <w:rPr>
          <w:rFonts w:hint="eastAsia" w:ascii="宋体" w:hAnsi="宋体" w:cs="宋体"/>
        </w:rPr>
        <w:t>供应商提交的响应文件以及供应商与采购人或平台就有关项目的所有来往函电均应使用中文书写。供应商提交的文件或资料可以用另一种语言，但相应内容应附有中文翻译本，由翻译机构盖章或者翻译人员签名。两种语言不一致时以中文翻译本为准。</w:t>
      </w:r>
    </w:p>
    <w:p w14:paraId="535C581B">
      <w:pPr>
        <w:widowControl/>
        <w:numPr>
          <w:ilvl w:val="0"/>
          <w:numId w:val="1"/>
        </w:numPr>
        <w:spacing w:line="360" w:lineRule="auto"/>
        <w:jc w:val="left"/>
        <w:rPr>
          <w:rFonts w:ascii="宋体" w:hAnsi="宋体"/>
        </w:rPr>
      </w:pPr>
      <w:r>
        <w:rPr>
          <w:rFonts w:hint="eastAsia" w:ascii="宋体" w:hAnsi="宋体" w:cs="宋体"/>
        </w:rPr>
        <w:t xml:space="preserve">在云采链平台参与零散采购项目后放弃成交资格超过三次（含三次）的供应商连同该供应商同一法人名下所有公司将被列入平台黑名单，永久不得参与平台的零散采购项目。   </w:t>
      </w:r>
    </w:p>
    <w:p w14:paraId="67D7B1EC">
      <w:pPr>
        <w:widowControl/>
        <w:numPr>
          <w:ilvl w:val="0"/>
          <w:numId w:val="1"/>
        </w:numPr>
        <w:spacing w:line="360" w:lineRule="auto"/>
        <w:jc w:val="left"/>
        <w:rPr>
          <w:rFonts w:ascii="宋体" w:hAnsi="宋体"/>
        </w:rPr>
      </w:pPr>
      <w:r>
        <w:rPr>
          <w:rFonts w:hint="eastAsia" w:ascii="宋体" w:hAnsi="宋体" w:cs="宋体"/>
        </w:rPr>
        <w:t>零散采购须知</w:t>
      </w:r>
    </w:p>
    <w:p w14:paraId="6917F987">
      <w:pPr>
        <w:widowControl/>
        <w:numPr>
          <w:ilvl w:val="0"/>
          <w:numId w:val="2"/>
        </w:numPr>
        <w:spacing w:line="360" w:lineRule="auto"/>
        <w:jc w:val="left"/>
        <w:rPr>
          <w:rFonts w:ascii="宋体" w:hAnsi="宋体"/>
          <w:b/>
          <w:bCs/>
        </w:rPr>
      </w:pPr>
      <w:r>
        <w:rPr>
          <w:rFonts w:hint="eastAsia" w:ascii="宋体" w:hAnsi="宋体" w:cs="宋体"/>
          <w:b/>
          <w:bCs/>
        </w:rPr>
        <w:t>零散采购说明</w:t>
      </w:r>
    </w:p>
    <w:p w14:paraId="27F095BD">
      <w:pPr>
        <w:widowControl/>
        <w:numPr>
          <w:ilvl w:val="0"/>
          <w:numId w:val="3"/>
        </w:numPr>
        <w:spacing w:line="360" w:lineRule="auto"/>
        <w:jc w:val="left"/>
        <w:rPr>
          <w:rFonts w:ascii="宋体" w:hAnsi="宋体"/>
        </w:rPr>
      </w:pPr>
      <w:r>
        <w:rPr>
          <w:rFonts w:hint="eastAsia" w:ascii="宋体" w:hAnsi="宋体" w:cs="宋体"/>
        </w:rPr>
        <w:t>参与项目的供应商应承担所有与准备和参加项目有关的费用，不</w:t>
      </w:r>
      <w:r>
        <w:rPr>
          <w:rFonts w:hint="eastAsia" w:ascii="宋体" w:hAnsi="宋体" w:cs="宋体"/>
          <w:lang w:eastAsia="zh-TW"/>
        </w:rPr>
        <w:t>论</w:t>
      </w:r>
      <w:r>
        <w:rPr>
          <w:rFonts w:hint="eastAsia" w:ascii="宋体" w:hAnsi="宋体" w:cs="宋体"/>
        </w:rPr>
        <w:t>项目</w:t>
      </w:r>
      <w:r>
        <w:rPr>
          <w:rFonts w:hint="eastAsia" w:ascii="宋体" w:hAnsi="宋体" w:cs="宋体"/>
          <w:lang w:eastAsia="zh-TW"/>
        </w:rPr>
        <w:t>的结果如何</w:t>
      </w:r>
      <w:r>
        <w:rPr>
          <w:rFonts w:hint="eastAsia" w:ascii="宋体" w:hAnsi="宋体" w:cs="宋体"/>
        </w:rPr>
        <w:t>，采购</w:t>
      </w:r>
      <w:r>
        <w:rPr>
          <w:rFonts w:hint="eastAsia" w:ascii="宋体" w:hAnsi="宋体" w:cs="宋体"/>
          <w:lang w:eastAsia="zh-TW"/>
        </w:rPr>
        <w:t>人</w:t>
      </w:r>
      <w:r>
        <w:rPr>
          <w:rFonts w:hint="eastAsia" w:ascii="宋体" w:hAnsi="宋体" w:cs="宋体"/>
        </w:rPr>
        <w:t>和</w:t>
      </w:r>
      <w:r>
        <w:rPr>
          <w:rFonts w:hint="eastAsia" w:ascii="宋体" w:hAnsi="宋体" w:cs="宋体"/>
          <w:lang w:eastAsia="zh-TW"/>
        </w:rPr>
        <w:t>代理机构均无义务和责任承担这些费用</w:t>
      </w:r>
      <w:r>
        <w:rPr>
          <w:rFonts w:hint="eastAsia" w:ascii="宋体" w:hAnsi="宋体" w:cs="宋体"/>
        </w:rPr>
        <w:t>。</w:t>
      </w:r>
    </w:p>
    <w:p w14:paraId="5DC675A1">
      <w:pPr>
        <w:widowControl/>
        <w:numPr>
          <w:ilvl w:val="0"/>
          <w:numId w:val="3"/>
        </w:numPr>
        <w:spacing w:line="360" w:lineRule="auto"/>
        <w:jc w:val="left"/>
        <w:rPr>
          <w:rFonts w:ascii="宋体" w:hAnsi="宋体"/>
        </w:rPr>
      </w:pPr>
      <w:r>
        <w:rPr>
          <w:rFonts w:hint="eastAsia" w:ascii="宋体" w:hAnsi="宋体" w:cs="宋体"/>
        </w:rPr>
        <w:t>参与项目的供应商必须按项目附件的格式填写，不得增加或删除表格内容。除单价、金额或项目要求填写的内容外，不得擅自改动项目附件内容，否则将有可能影响成交结果，不推荐为成交候选人。</w:t>
      </w:r>
    </w:p>
    <w:p w14:paraId="4957699F">
      <w:pPr>
        <w:widowControl/>
        <w:numPr>
          <w:ilvl w:val="0"/>
          <w:numId w:val="3"/>
        </w:numPr>
        <w:spacing w:line="360" w:lineRule="auto"/>
        <w:jc w:val="left"/>
        <w:rPr>
          <w:rFonts w:ascii="宋体" w:hAnsi="宋体"/>
        </w:rPr>
      </w:pPr>
      <w:r>
        <w:rPr>
          <w:rFonts w:hint="eastAsia" w:ascii="宋体" w:hAnsi="宋体" w:cs="宋体"/>
        </w:rPr>
        <w:t>若成交供应商自身原因无法完成本项目，则采购人有权利保留追究责任。</w:t>
      </w:r>
    </w:p>
    <w:p w14:paraId="4B621BE5">
      <w:pPr>
        <w:widowControl/>
        <w:numPr>
          <w:ilvl w:val="0"/>
          <w:numId w:val="3"/>
        </w:numPr>
        <w:spacing w:line="360" w:lineRule="auto"/>
        <w:jc w:val="left"/>
        <w:rPr>
          <w:rFonts w:ascii="宋体" w:hAnsi="宋体"/>
        </w:rPr>
      </w:pPr>
      <w:r>
        <w:rPr>
          <w:rFonts w:hint="eastAsia" w:ascii="宋体" w:hAnsi="宋体" w:cs="宋体"/>
        </w:rPr>
        <w:t>成交供应商因自身原因被取消成交资格，采购人可重新启动采购或按项目公告规定顺延推选符合要求的供应商作为成交人。</w:t>
      </w:r>
    </w:p>
    <w:p w14:paraId="11D801CC">
      <w:pPr>
        <w:widowControl/>
        <w:numPr>
          <w:ilvl w:val="0"/>
          <w:numId w:val="3"/>
        </w:numPr>
        <w:spacing w:line="360" w:lineRule="auto"/>
        <w:jc w:val="left"/>
        <w:rPr>
          <w:rFonts w:ascii="宋体" w:hAnsi="宋体"/>
        </w:rPr>
      </w:pPr>
      <w:r>
        <w:rPr>
          <w:rFonts w:hint="eastAsia" w:ascii="宋体" w:hAnsi="宋体" w:cs="宋体"/>
        </w:rPr>
        <w:t>若本项目采购失败，采购人将重新采购，届时采购人有权根据项目具体情况，决定重新采购项目的采购方式。</w:t>
      </w:r>
    </w:p>
    <w:p w14:paraId="7ED8F1ED">
      <w:pPr>
        <w:widowControl/>
        <w:numPr>
          <w:ilvl w:val="0"/>
          <w:numId w:val="3"/>
        </w:numPr>
        <w:spacing w:line="360" w:lineRule="auto"/>
        <w:jc w:val="left"/>
        <w:rPr>
          <w:rFonts w:ascii="宋体" w:hAnsi="宋体"/>
        </w:rPr>
      </w:pPr>
      <w:r>
        <w:rPr>
          <w:rFonts w:hint="eastAsia" w:ascii="宋体" w:hAnsi="宋体" w:cs="宋体"/>
        </w:rPr>
        <w:t>成交供应商若无正当理由恶意放弃成交资格，采购人有权将拒绝其参加本项目重新组织的采购活动。</w:t>
      </w:r>
    </w:p>
    <w:p w14:paraId="7C858F77">
      <w:pPr>
        <w:widowControl/>
        <w:numPr>
          <w:ilvl w:val="0"/>
          <w:numId w:val="3"/>
        </w:numPr>
        <w:spacing w:line="360" w:lineRule="auto"/>
        <w:jc w:val="left"/>
        <w:rPr>
          <w:rFonts w:ascii="宋体" w:hAnsi="宋体"/>
        </w:rPr>
      </w:pPr>
      <w:r>
        <w:rPr>
          <w:rFonts w:hint="eastAsia" w:ascii="宋体" w:hAnsi="宋体"/>
        </w:rPr>
        <w:t>如采购人或代理机构在审核或复核参与项目的供应商所提交的项目资料时，供应商须无条件配合；期间若发现存在弄虚作假或相关的失信记录或违反国家法律法规等相关的不良情形，采购人可取消其成交资格并保留追究责任的权力。</w:t>
      </w:r>
    </w:p>
    <w:p w14:paraId="2A38850F">
      <w:pPr>
        <w:widowControl/>
        <w:numPr>
          <w:ilvl w:val="0"/>
          <w:numId w:val="3"/>
        </w:numPr>
        <w:spacing w:line="360" w:lineRule="auto"/>
        <w:jc w:val="left"/>
        <w:rPr>
          <w:rFonts w:ascii="宋体" w:hAnsi="宋体"/>
        </w:rPr>
      </w:pPr>
      <w:r>
        <w:rPr>
          <w:rFonts w:hint="eastAsia" w:ascii="宋体" w:hAnsi="宋体" w:cs="宋体"/>
        </w:rPr>
        <w:t>参与项目的</w:t>
      </w:r>
      <w:r>
        <w:rPr>
          <w:rFonts w:hint="eastAsia" w:ascii="宋体" w:hAnsi="宋体" w:cs="宋体"/>
          <w:lang w:eastAsia="zh-TW"/>
        </w:rPr>
        <w:t>供应商向我司咨询的有关项目事项，一切以</w:t>
      </w:r>
      <w:r>
        <w:rPr>
          <w:rFonts w:hint="eastAsia" w:ascii="宋体" w:hAnsi="宋体" w:cs="宋体"/>
        </w:rPr>
        <w:t>项目文件</w:t>
      </w:r>
      <w:r>
        <w:rPr>
          <w:rFonts w:hint="eastAsia" w:ascii="宋体" w:hAnsi="宋体" w:cs="宋体"/>
          <w:lang w:eastAsia="zh-TW"/>
        </w:rPr>
        <w:t>规定</w:t>
      </w:r>
      <w:r>
        <w:rPr>
          <w:rFonts w:hint="eastAsia" w:ascii="宋体" w:hAnsi="宋体" w:cs="宋体"/>
        </w:rPr>
        <w:t>和项目公告规定以及</w:t>
      </w:r>
      <w:r>
        <w:rPr>
          <w:rFonts w:hint="eastAsia" w:ascii="宋体" w:hAnsi="宋体" w:cs="宋体"/>
          <w:lang w:eastAsia="zh-TW"/>
        </w:rPr>
        <w:t>本公司</w:t>
      </w:r>
      <w:r>
        <w:rPr>
          <w:rFonts w:hint="eastAsia" w:ascii="宋体" w:hAnsi="宋体" w:cs="宋体"/>
        </w:rPr>
        <w:t>的</w:t>
      </w:r>
      <w:r>
        <w:rPr>
          <w:rFonts w:hint="eastAsia" w:ascii="宋体" w:hAnsi="宋体" w:cs="宋体"/>
          <w:lang w:eastAsia="zh-TW"/>
        </w:rPr>
        <w:t>书面答复为准，其他一切形式均为个人意见，不代表本公司的意见</w:t>
      </w:r>
      <w:r>
        <w:rPr>
          <w:rFonts w:hint="eastAsia" w:ascii="宋体" w:hAnsi="宋体" w:cs="宋体"/>
        </w:rPr>
        <w:t>；</w:t>
      </w:r>
    </w:p>
    <w:p w14:paraId="637692CE">
      <w:pPr>
        <w:widowControl/>
        <w:numPr>
          <w:ilvl w:val="0"/>
          <w:numId w:val="3"/>
        </w:numPr>
        <w:spacing w:line="360" w:lineRule="auto"/>
        <w:jc w:val="left"/>
        <w:rPr>
          <w:rFonts w:ascii="宋体" w:hAnsi="宋体"/>
        </w:rPr>
      </w:pPr>
      <w:r>
        <w:rPr>
          <w:rFonts w:hint="eastAsia" w:ascii="宋体" w:hAnsi="宋体" w:cs="宋体"/>
        </w:rPr>
        <w:t>参与项目的供应商应认真阅读</w:t>
      </w:r>
      <w:r>
        <w:rPr>
          <w:rFonts w:hint="eastAsia" w:ascii="宋体" w:hAnsi="宋体" w:cs="宋体"/>
          <w:lang w:eastAsia="zh-TW"/>
        </w:rPr>
        <w:t>、并充分理解</w:t>
      </w:r>
      <w:r>
        <w:rPr>
          <w:rFonts w:hint="eastAsia" w:ascii="宋体" w:hAnsi="宋体" w:cs="宋体"/>
        </w:rPr>
        <w:t>项目</w:t>
      </w:r>
      <w:r>
        <w:rPr>
          <w:rFonts w:hint="eastAsia" w:ascii="宋体" w:hAnsi="宋体" w:cs="宋体"/>
          <w:lang w:eastAsia="zh-TW"/>
        </w:rPr>
        <w:t>文件的全部内容（包括所有的补充、修改内容重要事项、格式、条款</w:t>
      </w:r>
      <w:r>
        <w:rPr>
          <w:rFonts w:hint="eastAsia" w:ascii="宋体" w:hAnsi="宋体" w:cs="宋体"/>
        </w:rPr>
        <w:t>、服务要求</w:t>
      </w:r>
      <w:r>
        <w:rPr>
          <w:rFonts w:hint="eastAsia" w:ascii="宋体" w:hAnsi="宋体" w:cs="宋体"/>
          <w:lang w:eastAsia="zh-TW"/>
        </w:rPr>
        <w:t>和技术规范、参数及要求等）。</w:t>
      </w:r>
      <w:r>
        <w:rPr>
          <w:rFonts w:hint="eastAsia" w:ascii="宋体" w:hAnsi="宋体" w:cs="宋体"/>
        </w:rPr>
        <w:t>供应商</w:t>
      </w:r>
      <w:r>
        <w:rPr>
          <w:rFonts w:hint="eastAsia" w:ascii="宋体" w:hAnsi="宋体" w:cs="宋体"/>
          <w:lang w:eastAsia="zh-TW"/>
        </w:rPr>
        <w:t>没有按照</w:t>
      </w:r>
      <w:r>
        <w:rPr>
          <w:rFonts w:hint="eastAsia" w:ascii="宋体" w:hAnsi="宋体" w:cs="宋体"/>
        </w:rPr>
        <w:t>项目</w:t>
      </w:r>
      <w:r>
        <w:rPr>
          <w:rFonts w:hint="eastAsia" w:ascii="宋体" w:hAnsi="宋体" w:cs="宋体"/>
          <w:lang w:eastAsia="zh-TW"/>
        </w:rPr>
        <w:t>文件要求提交全部资料，或者</w:t>
      </w:r>
      <w:r>
        <w:rPr>
          <w:rFonts w:hint="eastAsia" w:ascii="宋体" w:hAnsi="宋体" w:cs="宋体"/>
        </w:rPr>
        <w:t>参与项目所上传的</w:t>
      </w:r>
      <w:r>
        <w:rPr>
          <w:rFonts w:hint="eastAsia" w:ascii="宋体" w:hAnsi="宋体" w:cs="宋体"/>
          <w:lang w:eastAsia="zh-TW"/>
        </w:rPr>
        <w:t>文件没有对</w:t>
      </w:r>
      <w:r>
        <w:rPr>
          <w:rFonts w:hint="eastAsia" w:ascii="宋体" w:hAnsi="宋体" w:cs="宋体"/>
        </w:rPr>
        <w:t>项目</w:t>
      </w:r>
      <w:r>
        <w:rPr>
          <w:rFonts w:hint="eastAsia" w:ascii="宋体" w:hAnsi="宋体" w:cs="宋体"/>
          <w:lang w:eastAsia="zh-TW"/>
        </w:rPr>
        <w:t>文件在各方面都作出实质性响应是</w:t>
      </w:r>
      <w:r>
        <w:rPr>
          <w:rFonts w:hint="eastAsia" w:ascii="宋体" w:hAnsi="宋体" w:cs="宋体"/>
        </w:rPr>
        <w:t>供应商</w:t>
      </w:r>
      <w:r>
        <w:rPr>
          <w:rFonts w:hint="eastAsia" w:ascii="宋体" w:hAnsi="宋体" w:cs="宋体"/>
          <w:lang w:eastAsia="zh-TW"/>
        </w:rPr>
        <w:t>的风险，有可能导致其</w:t>
      </w:r>
      <w:r>
        <w:rPr>
          <w:rFonts w:hint="eastAsia" w:ascii="宋体" w:hAnsi="宋体" w:cs="宋体"/>
        </w:rPr>
        <w:t>响应</w:t>
      </w:r>
      <w:r>
        <w:rPr>
          <w:rFonts w:hint="eastAsia" w:ascii="宋体" w:hAnsi="宋体" w:cs="宋体"/>
          <w:lang w:eastAsia="zh-TW"/>
        </w:rPr>
        <w:t>被拒绝，</w:t>
      </w:r>
      <w:r>
        <w:rPr>
          <w:rFonts w:hint="eastAsia" w:ascii="宋体" w:hAnsi="宋体" w:cs="宋体"/>
        </w:rPr>
        <w:t>或被认定为无效响应。</w:t>
      </w:r>
    </w:p>
    <w:p w14:paraId="0B7EFF77">
      <w:pPr>
        <w:widowControl/>
        <w:numPr>
          <w:ilvl w:val="0"/>
          <w:numId w:val="3"/>
        </w:numPr>
        <w:spacing w:line="360" w:lineRule="auto"/>
        <w:jc w:val="left"/>
        <w:rPr>
          <w:rFonts w:ascii="宋体" w:hAnsi="宋体"/>
        </w:rPr>
      </w:pPr>
      <w:r>
        <w:rPr>
          <w:rFonts w:hint="eastAsia" w:ascii="宋体" w:hAnsi="宋体" w:cs="宋体"/>
          <w:kern w:val="0"/>
        </w:rPr>
        <w:t>采购人有权拒绝接受任何不合格的货物或服务，由此产生的费用及相关后果均由成交供应商自行承担。</w:t>
      </w:r>
    </w:p>
    <w:p w14:paraId="7CDD24D2">
      <w:pPr>
        <w:widowControl/>
        <w:numPr>
          <w:ilvl w:val="0"/>
          <w:numId w:val="3"/>
        </w:numPr>
        <w:spacing w:line="360" w:lineRule="auto"/>
        <w:jc w:val="left"/>
        <w:rPr>
          <w:rFonts w:ascii="宋体" w:hAnsi="宋体"/>
          <w:b/>
          <w:bCs/>
        </w:rPr>
      </w:pPr>
      <w:r>
        <w:rPr>
          <w:rFonts w:hint="eastAsia" w:ascii="宋体" w:hAnsi="宋体"/>
          <w:b/>
          <w:bCs/>
        </w:rPr>
        <w:t>成交供应商应在项目结果发布15天内与采购单位签订书面合同；若采购单位无签订合同的要求，成交供应商应在项目结果发布15天内与采购单位约定项目执行事宜；否则将有可能被取消成交资格。</w:t>
      </w:r>
    </w:p>
    <w:p w14:paraId="589EF517">
      <w:pPr>
        <w:pStyle w:val="33"/>
        <w:numPr>
          <w:ilvl w:val="0"/>
          <w:numId w:val="3"/>
        </w:numPr>
        <w:spacing w:line="360" w:lineRule="auto"/>
        <w:ind w:firstLineChars="0"/>
        <w:rPr>
          <w:rFonts w:ascii="宋体" w:hAnsi="宋体"/>
          <w:b/>
        </w:rPr>
      </w:pPr>
      <w:r>
        <w:rPr>
          <w:rFonts w:hint="eastAsia" w:ascii="宋体" w:hAnsi="宋体"/>
          <w:b/>
        </w:rPr>
        <w:t>若供应商提供的货物存在假冒伪劣等品质问题或提供的服务质量低下或存在拖延影响项目进程等问题，经采购人确认，将列入该采购人黑名单，1年内不得参与该采购人的所有项目且采购人有权利保留追究责任；</w:t>
      </w:r>
    </w:p>
    <w:p w14:paraId="39949EA1">
      <w:pPr>
        <w:pStyle w:val="33"/>
        <w:numPr>
          <w:ilvl w:val="0"/>
          <w:numId w:val="3"/>
        </w:numPr>
        <w:spacing w:line="360" w:lineRule="auto"/>
        <w:ind w:firstLineChars="0"/>
        <w:rPr>
          <w:rFonts w:ascii="宋体" w:hAnsi="宋体"/>
          <w:b/>
          <w:bCs/>
        </w:rPr>
      </w:pPr>
      <w:r>
        <w:rPr>
          <w:rFonts w:hint="eastAsia" w:ascii="宋体" w:hAnsi="宋体"/>
          <w:b/>
        </w:rPr>
        <w:t>参与项目的供应商应提供正确、畅通的联系方式，若采购人或代理机构通过供应商所填写的联系方式无法与供应商及时取得联系，相关不利后果由供应商承担，包括但不限于取消响应资格，且由此产生的费用及相关后果均由供应商自行承担。</w:t>
      </w:r>
    </w:p>
    <w:p w14:paraId="44EC0988">
      <w:pPr>
        <w:widowControl/>
        <w:numPr>
          <w:ilvl w:val="0"/>
          <w:numId w:val="3"/>
        </w:numPr>
        <w:spacing w:line="360" w:lineRule="auto"/>
        <w:jc w:val="left"/>
        <w:rPr>
          <w:rFonts w:ascii="宋体" w:hAnsi="宋体"/>
        </w:rPr>
      </w:pPr>
      <w:r>
        <w:rPr>
          <w:rFonts w:hint="eastAsia" w:ascii="宋体" w:hAnsi="宋体" w:cs="宋体"/>
        </w:rPr>
        <w:t>供应商认为项目结果损害其权益的，应按照云采链平台相关指引在规定的时间内向采购人或代理机构提交书面质疑，不提交的视为无异议，逾期提交将不予受理；</w:t>
      </w:r>
    </w:p>
    <w:p w14:paraId="451BD9BD">
      <w:pPr>
        <w:widowControl/>
        <w:numPr>
          <w:ilvl w:val="0"/>
          <w:numId w:val="3"/>
        </w:numPr>
        <w:spacing w:line="360" w:lineRule="auto"/>
        <w:jc w:val="left"/>
        <w:rPr>
          <w:rFonts w:ascii="宋体" w:hAnsi="宋体"/>
        </w:rPr>
      </w:pPr>
      <w:r>
        <w:rPr>
          <w:rFonts w:hint="eastAsia" w:ascii="宋体" w:hAnsi="宋体" w:cs="宋体"/>
        </w:rPr>
        <w:t>本项目公告和项目文件的解释权归“云采链线上采购一体化平台”所有。</w:t>
      </w:r>
    </w:p>
    <w:p w14:paraId="16D37B72">
      <w:pPr>
        <w:widowControl/>
        <w:numPr>
          <w:ilvl w:val="0"/>
          <w:numId w:val="2"/>
        </w:numPr>
        <w:spacing w:line="360" w:lineRule="auto"/>
        <w:jc w:val="left"/>
        <w:rPr>
          <w:rFonts w:ascii="宋体" w:hAnsi="宋体"/>
        </w:rPr>
      </w:pPr>
      <w:r>
        <w:rPr>
          <w:rFonts w:hint="eastAsia" w:ascii="宋体" w:hAnsi="宋体"/>
          <w:b/>
        </w:rPr>
        <w:t>项目文件的澄清或修改</w:t>
      </w:r>
    </w:p>
    <w:p w14:paraId="03B69B8D">
      <w:pPr>
        <w:widowControl/>
        <w:numPr>
          <w:ilvl w:val="1"/>
          <w:numId w:val="4"/>
        </w:numPr>
        <w:spacing w:line="360" w:lineRule="auto"/>
        <w:jc w:val="left"/>
        <w:rPr>
          <w:rFonts w:ascii="宋体" w:hAnsi="宋体"/>
        </w:rPr>
      </w:pPr>
      <w:r>
        <w:rPr>
          <w:rFonts w:hint="eastAsia" w:ascii="宋体" w:hAnsi="宋体"/>
        </w:rPr>
        <w:t>采购人或者采购代理机构可以对已发出的项目文件进行必要的澄清或者修改。澄清或者修改的内容将在云采链平台上发布澄清（更正/变更）公告。</w:t>
      </w:r>
    </w:p>
    <w:p w14:paraId="3AD14750">
      <w:pPr>
        <w:widowControl/>
        <w:numPr>
          <w:ilvl w:val="1"/>
          <w:numId w:val="4"/>
        </w:numPr>
        <w:spacing w:line="360" w:lineRule="auto"/>
        <w:jc w:val="left"/>
        <w:rPr>
          <w:rFonts w:ascii="宋体" w:hAnsi="宋体"/>
        </w:rPr>
      </w:pPr>
      <w:r>
        <w:rPr>
          <w:rFonts w:hint="eastAsia" w:ascii="宋体" w:hAnsi="宋体"/>
        </w:rPr>
        <w:t>无论澄清或者修改的内容是否影响项目，平台将以短信形式通知所有的报名供应商；报名供应商应按要求履行相应的义务；</w:t>
      </w:r>
      <w:r>
        <w:rPr>
          <w:rFonts w:hint="eastAsia" w:ascii="宋体" w:hAnsi="宋体" w:cs="宋体"/>
        </w:rPr>
        <w:t>如报名</w:t>
      </w:r>
      <w:r>
        <w:rPr>
          <w:rFonts w:hint="eastAsia" w:ascii="宋体" w:hAnsi="宋体" w:cs="宋体"/>
          <w:lang w:eastAsia="zh-TW"/>
        </w:rPr>
        <w:t>截止时间</w:t>
      </w:r>
      <w:r>
        <w:rPr>
          <w:rFonts w:hint="eastAsia" w:ascii="宋体" w:hAnsi="宋体" w:cs="宋体"/>
        </w:rPr>
        <w:t>少于一个工作日的，</w:t>
      </w:r>
      <w:r>
        <w:rPr>
          <w:rFonts w:hint="eastAsia" w:ascii="宋体" w:hAnsi="宋体"/>
        </w:rPr>
        <w:t>采购人或者采购代理机构应当相应顺延报名的截止时间。</w:t>
      </w:r>
    </w:p>
    <w:p w14:paraId="2E315F58">
      <w:pPr>
        <w:widowControl/>
        <w:numPr>
          <w:ilvl w:val="1"/>
          <w:numId w:val="4"/>
        </w:numPr>
        <w:spacing w:line="360" w:lineRule="auto"/>
        <w:jc w:val="left"/>
        <w:rPr>
          <w:rFonts w:ascii="宋体" w:hAnsi="宋体"/>
        </w:rPr>
      </w:pPr>
      <w:r>
        <w:rPr>
          <w:rFonts w:hint="eastAsia" w:ascii="宋体" w:hAnsi="宋体"/>
        </w:rPr>
        <w:t>采购人或者采购代理机构发出的澄清或修改（更正/变更）的内容为项目文件的组成部分，并对供应商具有约束力。</w:t>
      </w:r>
    </w:p>
    <w:p w14:paraId="6B84C6DC">
      <w:pPr>
        <w:pStyle w:val="33"/>
        <w:numPr>
          <w:ilvl w:val="0"/>
          <w:numId w:val="2"/>
        </w:numPr>
        <w:spacing w:line="360" w:lineRule="auto"/>
        <w:ind w:firstLineChars="0"/>
        <w:rPr>
          <w:rFonts w:ascii="宋体" w:hAnsi="宋体"/>
          <w:b/>
        </w:rPr>
      </w:pPr>
      <w:r>
        <w:rPr>
          <w:rFonts w:hint="eastAsia" w:ascii="宋体" w:hAnsi="宋体" w:cs="宋体"/>
          <w:b/>
        </w:rPr>
        <w:t>如有要求缴纳保证金/保障金的项目有</w:t>
      </w:r>
      <w:r>
        <w:rPr>
          <w:rFonts w:hint="eastAsia" w:ascii="宋体" w:hAnsi="宋体" w:cs="宋体"/>
          <w:b/>
          <w:lang w:eastAsia="zh-TW"/>
        </w:rPr>
        <w:t>下列任一情</w:t>
      </w:r>
      <w:r>
        <w:rPr>
          <w:rFonts w:hint="eastAsia" w:ascii="宋体" w:hAnsi="宋体" w:cs="宋体"/>
          <w:b/>
        </w:rPr>
        <w:t>形</w:t>
      </w:r>
      <w:r>
        <w:rPr>
          <w:rFonts w:hint="eastAsia" w:ascii="宋体" w:hAnsi="宋体" w:cs="宋体"/>
          <w:b/>
          <w:lang w:eastAsia="zh-TW"/>
        </w:rPr>
        <w:t>发生时</w:t>
      </w:r>
      <w:r>
        <w:rPr>
          <w:rFonts w:hint="eastAsia" w:ascii="宋体" w:hAnsi="宋体" w:cs="宋体"/>
          <w:b/>
        </w:rPr>
        <w:t>，</w:t>
      </w:r>
      <w:r>
        <w:rPr>
          <w:rFonts w:hint="eastAsia" w:ascii="宋体" w:hAnsi="宋体" w:cs="宋体"/>
          <w:b/>
          <w:lang w:eastAsia="zh-TW"/>
        </w:rPr>
        <w:t>保证金</w:t>
      </w:r>
      <w:r>
        <w:rPr>
          <w:rFonts w:hint="eastAsia" w:ascii="宋体" w:hAnsi="宋体" w:cs="宋体"/>
          <w:b/>
        </w:rPr>
        <w:t>/保障金</w:t>
      </w:r>
      <w:r>
        <w:rPr>
          <w:rFonts w:hint="eastAsia" w:ascii="宋体" w:hAnsi="宋体" w:cs="宋体"/>
          <w:b/>
          <w:lang w:eastAsia="zh-TW"/>
        </w:rPr>
        <w:t>将不予退还</w:t>
      </w:r>
      <w:r>
        <w:rPr>
          <w:rFonts w:hint="eastAsia" w:ascii="宋体" w:hAnsi="宋体" w:cs="宋体"/>
          <w:b/>
        </w:rPr>
        <w:t>：</w:t>
      </w:r>
    </w:p>
    <w:p w14:paraId="67139186">
      <w:pPr>
        <w:numPr>
          <w:ilvl w:val="2"/>
          <w:numId w:val="5"/>
        </w:numPr>
        <w:tabs>
          <w:tab w:val="left" w:pos="851"/>
        </w:tabs>
        <w:autoSpaceDE w:val="0"/>
        <w:autoSpaceDN w:val="0"/>
        <w:adjustRightInd w:val="0"/>
        <w:snapToGrid w:val="0"/>
        <w:spacing w:line="360" w:lineRule="auto"/>
        <w:rPr>
          <w:rFonts w:ascii="宋体" w:hAnsi="宋体"/>
        </w:rPr>
      </w:pPr>
      <w:r>
        <w:rPr>
          <w:rFonts w:hint="eastAsia" w:ascii="宋体" w:hAnsi="宋体" w:cs="宋体"/>
        </w:rPr>
        <w:t>供应商</w:t>
      </w:r>
      <w:r>
        <w:rPr>
          <w:rFonts w:hint="eastAsia" w:ascii="宋体" w:hAnsi="宋体" w:cs="宋体"/>
          <w:lang w:eastAsia="zh-TW"/>
        </w:rPr>
        <w:t>在</w:t>
      </w:r>
      <w:r>
        <w:rPr>
          <w:rFonts w:hint="eastAsia" w:ascii="宋体" w:hAnsi="宋体" w:cs="宋体"/>
        </w:rPr>
        <w:t>项目相关公告以及项目文件等相关</w:t>
      </w:r>
      <w:r>
        <w:rPr>
          <w:rFonts w:hint="eastAsia" w:ascii="宋体" w:hAnsi="宋体" w:cs="宋体"/>
          <w:lang w:eastAsia="zh-TW"/>
        </w:rPr>
        <w:t>规定的</w:t>
      </w:r>
      <w:r>
        <w:rPr>
          <w:rFonts w:hint="eastAsia" w:ascii="宋体" w:hAnsi="宋体" w:cs="宋体"/>
        </w:rPr>
        <w:t>报价截止后</w:t>
      </w:r>
      <w:r>
        <w:rPr>
          <w:rFonts w:hint="eastAsia" w:ascii="宋体" w:hAnsi="宋体" w:cs="宋体"/>
          <w:lang w:eastAsia="zh-TW"/>
        </w:rPr>
        <w:t>撤</w:t>
      </w:r>
      <w:r>
        <w:rPr>
          <w:rFonts w:hint="eastAsia" w:ascii="宋体" w:hAnsi="宋体" w:cs="宋体"/>
        </w:rPr>
        <w:t>销</w:t>
      </w:r>
      <w:r>
        <w:rPr>
          <w:rFonts w:hint="eastAsia" w:ascii="宋体" w:hAnsi="宋体" w:cs="宋体"/>
          <w:lang w:eastAsia="zh-TW"/>
        </w:rPr>
        <w:t>其</w:t>
      </w:r>
      <w:r>
        <w:rPr>
          <w:rFonts w:hint="eastAsia" w:ascii="宋体" w:hAnsi="宋体" w:cs="宋体"/>
        </w:rPr>
        <w:t>报价的；</w:t>
      </w:r>
    </w:p>
    <w:p w14:paraId="28EEB8A7">
      <w:pPr>
        <w:numPr>
          <w:ilvl w:val="2"/>
          <w:numId w:val="5"/>
        </w:numPr>
        <w:tabs>
          <w:tab w:val="left" w:pos="851"/>
        </w:tabs>
        <w:autoSpaceDE w:val="0"/>
        <w:autoSpaceDN w:val="0"/>
        <w:adjustRightInd w:val="0"/>
        <w:snapToGrid w:val="0"/>
        <w:spacing w:line="360" w:lineRule="auto"/>
        <w:rPr>
          <w:rFonts w:ascii="宋体" w:hAnsi="宋体"/>
        </w:rPr>
      </w:pPr>
      <w:r>
        <w:rPr>
          <w:rFonts w:hint="eastAsia" w:ascii="宋体" w:hAnsi="宋体" w:cs="宋体"/>
        </w:rPr>
        <w:t>获取成交资格</w:t>
      </w:r>
      <w:r>
        <w:rPr>
          <w:rFonts w:hint="eastAsia" w:ascii="宋体" w:hAnsi="宋体" w:cs="宋体"/>
          <w:lang w:eastAsia="zh-TW"/>
        </w:rPr>
        <w:t>后无正当理由放弃</w:t>
      </w:r>
      <w:r>
        <w:rPr>
          <w:rFonts w:hint="eastAsia" w:ascii="宋体" w:hAnsi="宋体" w:cs="宋体"/>
        </w:rPr>
        <w:t>成交资格</w:t>
      </w:r>
      <w:r>
        <w:rPr>
          <w:rFonts w:hint="eastAsia" w:ascii="宋体" w:hAnsi="宋体" w:cs="宋体"/>
          <w:lang w:eastAsia="zh-TW"/>
        </w:rPr>
        <w:t>或</w:t>
      </w:r>
      <w:r>
        <w:rPr>
          <w:rFonts w:hint="eastAsia" w:ascii="宋体" w:hAnsi="宋体" w:cs="宋体"/>
        </w:rPr>
        <w:t>成交人不配合与采购人</w:t>
      </w:r>
      <w:r>
        <w:rPr>
          <w:rFonts w:hint="eastAsia" w:ascii="宋体" w:hAnsi="宋体" w:cs="宋体"/>
          <w:lang w:eastAsia="zh-TW"/>
        </w:rPr>
        <w:t>签订合同</w:t>
      </w:r>
      <w:r>
        <w:rPr>
          <w:rFonts w:hint="eastAsia" w:ascii="宋体" w:hAnsi="宋体" w:cs="宋体"/>
        </w:rPr>
        <w:t>的；</w:t>
      </w:r>
    </w:p>
    <w:p w14:paraId="31940214">
      <w:pPr>
        <w:numPr>
          <w:ilvl w:val="2"/>
          <w:numId w:val="5"/>
        </w:numPr>
        <w:tabs>
          <w:tab w:val="left" w:pos="851"/>
        </w:tabs>
        <w:autoSpaceDE w:val="0"/>
        <w:autoSpaceDN w:val="0"/>
        <w:adjustRightInd w:val="0"/>
        <w:snapToGrid w:val="0"/>
        <w:spacing w:line="360" w:lineRule="auto"/>
        <w:rPr>
          <w:rStyle w:val="20"/>
          <w:rFonts w:ascii="宋体" w:hAnsi="宋体" w:eastAsia="宋体" w:cs="宋体"/>
          <w:b w:val="0"/>
          <w:bCs w:val="0"/>
          <w:lang w:eastAsia="zh-TW"/>
        </w:rPr>
      </w:pPr>
      <w:r>
        <w:rPr>
          <w:rFonts w:hint="eastAsia" w:ascii="宋体" w:hAnsi="宋体" w:cs="宋体"/>
        </w:rPr>
        <w:t>其他因成交人的原因被认定取消成交资格的。</w:t>
      </w:r>
    </w:p>
    <w:p w14:paraId="3C050F2F">
      <w:pPr>
        <w:widowControl/>
        <w:numPr>
          <w:ilvl w:val="0"/>
          <w:numId w:val="2"/>
        </w:numPr>
        <w:spacing w:line="360" w:lineRule="auto"/>
        <w:jc w:val="left"/>
        <w:rPr>
          <w:rFonts w:ascii="宋体" w:hAnsi="宋体"/>
          <w:b/>
          <w:bCs/>
        </w:rPr>
      </w:pPr>
      <w:r>
        <w:rPr>
          <w:rFonts w:hint="eastAsia" w:ascii="宋体" w:hAnsi="宋体"/>
          <w:b/>
          <w:bCs/>
        </w:rPr>
        <w:t>保障金退还时间安排如下：对于未成交的供应商，将在结果公布后的三个工作日内退还；对于成交的供应商，待其上传合同后，亦将在三个工作日内予以退还。</w:t>
      </w:r>
    </w:p>
    <w:p w14:paraId="2337D1A8">
      <w:pPr>
        <w:widowControl/>
        <w:numPr>
          <w:ilvl w:val="0"/>
          <w:numId w:val="2"/>
        </w:numPr>
        <w:spacing w:line="360" w:lineRule="auto"/>
        <w:jc w:val="left"/>
        <w:rPr>
          <w:rFonts w:ascii="宋体" w:hAnsi="宋体"/>
          <w:b/>
          <w:bCs/>
        </w:rPr>
      </w:pPr>
      <w:r>
        <w:rPr>
          <w:rFonts w:hint="eastAsia" w:ascii="宋体" w:hAnsi="宋体" w:cs="宋体"/>
          <w:b/>
          <w:bCs/>
        </w:rPr>
        <w:t>报名要求（</w:t>
      </w:r>
      <w:r>
        <w:rPr>
          <w:rFonts w:hint="eastAsia" w:ascii="宋体" w:hAnsi="宋体" w:cs="宋体"/>
        </w:rPr>
        <w:t>参与项目的</w:t>
      </w:r>
      <w:r>
        <w:rPr>
          <w:rFonts w:hint="eastAsia" w:ascii="宋体" w:hAnsi="宋体" w:cs="宋体"/>
          <w:b/>
          <w:bCs/>
        </w:rPr>
        <w:t>供应商资质要求</w:t>
      </w:r>
      <w:r>
        <w:rPr>
          <w:rFonts w:ascii="宋体" w:hAnsi="宋体" w:cs="宋体"/>
          <w:b/>
          <w:bCs/>
        </w:rPr>
        <w:t>:</w:t>
      </w:r>
      <w:r>
        <w:rPr>
          <w:rFonts w:hint="eastAsia" w:ascii="宋体" w:hAnsi="宋体" w:cs="宋体"/>
        </w:rPr>
        <w:t>报名时需要提供以下盖章资料，</w:t>
      </w:r>
      <w:r>
        <w:rPr>
          <w:rFonts w:hint="eastAsia" w:ascii="宋体" w:hAnsi="宋体" w:cs="宋体"/>
          <w:b/>
          <w:bCs/>
        </w:rPr>
        <w:t>加盖响应供应商公章，</w:t>
      </w:r>
      <w:r>
        <w:rPr>
          <w:rFonts w:hint="eastAsia" w:ascii="宋体" w:hAnsi="宋体" w:cs="宋体"/>
        </w:rPr>
        <w:t>并对上传的报名文件资料承担责任</w:t>
      </w:r>
      <w:r>
        <w:rPr>
          <w:rFonts w:hint="eastAsia" w:ascii="宋体" w:hAnsi="宋体" w:cs="宋体"/>
          <w:b/>
          <w:bCs/>
        </w:rPr>
        <w:t>）</w:t>
      </w:r>
    </w:p>
    <w:p w14:paraId="10B053EF">
      <w:pPr>
        <w:numPr>
          <w:ilvl w:val="0"/>
          <w:numId w:val="6"/>
        </w:numPr>
        <w:spacing w:line="360" w:lineRule="auto"/>
        <w:jc w:val="left"/>
        <w:rPr>
          <w:rFonts w:ascii="宋体" w:hAnsi="宋体" w:cs="宋体"/>
        </w:rPr>
      </w:pPr>
      <w:r>
        <w:rPr>
          <w:rFonts w:hint="eastAsia" w:ascii="宋体" w:hAnsi="宋体" w:cs="宋体"/>
        </w:rPr>
        <w:t>①具有独立承担民事责任的在中华人民共和国境内注册的法人或其他组织</w:t>
      </w:r>
      <w:r>
        <w:rPr>
          <w:rFonts w:hint="eastAsia" w:ascii="宋体" w:hAnsi="宋体" w:cs="宋体"/>
          <w:szCs w:val="21"/>
        </w:rPr>
        <w:t>；</w:t>
      </w:r>
      <w:r>
        <w:rPr>
          <w:rFonts w:hint="eastAsia" w:ascii="宋体" w:hAnsi="宋体" w:cs="宋体"/>
        </w:rPr>
        <w:t>提供营业执照、税务登记证、组织机构代码证或者三证合一复印件（有效期内，并盖公章）；②经办人如是法定代表人，需提供法定代表人证明书及法定代表人身份证复印件，格式详见附件；经办人如是供应商授权代表，需提供法定代表人证明书、法定代表人身份证复印件、法定代表人授权委托书、授权代表身份证复印件，</w:t>
      </w:r>
      <w:r>
        <w:rPr>
          <w:rFonts w:hint="eastAsia" w:ascii="宋体" w:hAnsi="宋体" w:cs="宋体"/>
          <w:b/>
        </w:rPr>
        <w:t>格式详见附件</w:t>
      </w:r>
      <w:r>
        <w:rPr>
          <w:rFonts w:hint="eastAsia" w:ascii="宋体" w:hAnsi="宋体" w:cs="宋体"/>
        </w:rPr>
        <w:t xml:space="preserve">； </w:t>
      </w:r>
    </w:p>
    <w:p w14:paraId="52E99F92">
      <w:pPr>
        <w:numPr>
          <w:ilvl w:val="0"/>
          <w:numId w:val="6"/>
        </w:numPr>
        <w:spacing w:line="360" w:lineRule="auto"/>
        <w:jc w:val="left"/>
        <w:rPr>
          <w:rFonts w:ascii="宋体" w:hAnsi="宋体" w:cs="宋体"/>
        </w:rPr>
      </w:pPr>
      <w:r>
        <w:rPr>
          <w:rFonts w:hint="eastAsia" w:ascii="宋体" w:hAnsi="宋体" w:cs="宋体"/>
        </w:rPr>
        <w:t>①在中国政府采购网</w:t>
      </w:r>
      <w:r>
        <w:rPr>
          <w:rFonts w:ascii="宋体" w:hAnsi="宋体" w:cs="宋体"/>
        </w:rPr>
        <w:t>http://www.ccgp.gov.cn/search/cr/ “政府采购严重违法失信行为信息记录”中查询没有处于禁止参加政府采购活动的记录名单；②在信用中国无受过严重失信信息和经营异常或行政处罚的 https://www.creditchina.gov.cn/ 生成信用报告；信用报告生成指南：</w:t>
      </w:r>
      <w:r>
        <w:rPr>
          <w:rFonts w:hint="eastAsia" w:ascii="宋体" w:hAnsi="宋体" w:cs="宋体"/>
        </w:rPr>
        <w:t>https://www.creditchina.gov.cn/xybgxzzn/</w:t>
      </w:r>
      <w:r>
        <w:rPr>
          <w:rFonts w:ascii="宋体" w:hAnsi="宋体" w:cs="宋体"/>
        </w:rPr>
        <w:t xml:space="preserve"> ；如是个体工商户可以登录国家企业信用信息公示系统或信用中国（广东）查询，国家企业信用信息公示系统https://www.gsxt.gov.cn/index.html ； 信用中国（广东）：</w:t>
      </w:r>
      <w:r>
        <w:fldChar w:fldCharType="begin"/>
      </w:r>
      <w:r>
        <w:instrText xml:space="preserve"> HYPERLINK "https://credit.gd.gov.cn/" </w:instrText>
      </w:r>
      <w:r>
        <w:fldChar w:fldCharType="separate"/>
      </w:r>
      <w:r>
        <w:rPr>
          <w:rStyle w:val="22"/>
          <w:rFonts w:ascii="宋体" w:hAnsi="宋体" w:cs="宋体"/>
          <w:color w:val="auto"/>
        </w:rPr>
        <w:t>https://credit.gd.gov.cn/</w:t>
      </w:r>
      <w:r>
        <w:rPr>
          <w:rStyle w:val="22"/>
          <w:rFonts w:ascii="宋体" w:hAnsi="宋体" w:cs="宋体"/>
          <w:color w:val="auto"/>
        </w:rPr>
        <w:fldChar w:fldCharType="end"/>
      </w:r>
      <w:r>
        <w:rPr>
          <w:rFonts w:hint="eastAsia" w:ascii="宋体" w:hAnsi="宋体" w:cs="宋体"/>
        </w:rPr>
        <w:t xml:space="preserve"> ；</w:t>
      </w:r>
    </w:p>
    <w:p w14:paraId="5A872997">
      <w:pPr>
        <w:pStyle w:val="14"/>
        <w:numPr>
          <w:ilvl w:val="0"/>
          <w:numId w:val="6"/>
        </w:numPr>
        <w:spacing w:before="0" w:beforeAutospacing="0" w:after="0" w:afterAutospacing="0" w:line="360" w:lineRule="auto"/>
        <w:rPr>
          <w:rStyle w:val="35"/>
          <w:rFonts w:ascii="宋体" w:hAnsi="宋体" w:eastAsia="宋体"/>
          <w:sz w:val="21"/>
          <w:szCs w:val="21"/>
        </w:rPr>
      </w:pPr>
      <w:r>
        <w:rPr>
          <w:rStyle w:val="35"/>
          <w:rFonts w:hint="eastAsia" w:ascii="宋体" w:hAnsi="宋体" w:eastAsia="宋体"/>
          <w:sz w:val="21"/>
          <w:szCs w:val="21"/>
        </w:rPr>
        <w:t>①</w:t>
      </w:r>
      <w:r>
        <w:rPr>
          <w:rStyle w:val="35"/>
          <w:rFonts w:ascii="宋体" w:hAnsi="宋体" w:eastAsia="宋体"/>
          <w:sz w:val="21"/>
          <w:szCs w:val="21"/>
        </w:rPr>
        <w:t>供应商必须具有履行合同能力且供应商在参加本次采购活动的最近三年内，在经营活动中无违法记录</w:t>
      </w:r>
      <w:r>
        <w:rPr>
          <w:rStyle w:val="35"/>
          <w:rFonts w:hint="eastAsia" w:ascii="宋体" w:hAnsi="宋体" w:eastAsia="宋体"/>
          <w:sz w:val="21"/>
          <w:szCs w:val="21"/>
        </w:rPr>
        <w:t>。</w:t>
      </w:r>
      <w:r>
        <w:rPr>
          <w:rStyle w:val="35"/>
          <w:rFonts w:ascii="宋体" w:hAnsi="宋体" w:eastAsia="宋体"/>
          <w:sz w:val="21"/>
          <w:szCs w:val="21"/>
        </w:rPr>
        <w:t>承诺按用户需求书要求完成服务，否则采购单位可取消</w:t>
      </w:r>
      <w:r>
        <w:rPr>
          <w:rStyle w:val="35"/>
          <w:rFonts w:hint="eastAsia" w:ascii="宋体" w:hAnsi="宋体" w:eastAsia="宋体"/>
          <w:sz w:val="21"/>
          <w:szCs w:val="21"/>
        </w:rPr>
        <w:t>供应商</w:t>
      </w:r>
      <w:r>
        <w:rPr>
          <w:rStyle w:val="35"/>
          <w:rFonts w:ascii="宋体" w:hAnsi="宋体" w:eastAsia="宋体"/>
          <w:sz w:val="21"/>
          <w:szCs w:val="21"/>
        </w:rPr>
        <w:t>成交资格，以及列入采购不良行为名单</w:t>
      </w:r>
      <w:r>
        <w:rPr>
          <w:rStyle w:val="35"/>
          <w:rFonts w:ascii="宋体" w:hAnsi="宋体" w:eastAsia="宋体"/>
          <w:b/>
          <w:bCs/>
          <w:sz w:val="21"/>
          <w:szCs w:val="21"/>
        </w:rPr>
        <w:t>（需提供相关书面承诺函，格式详见附件）</w:t>
      </w:r>
      <w:r>
        <w:rPr>
          <w:rStyle w:val="35"/>
          <w:rFonts w:ascii="宋体" w:hAnsi="宋体" w:eastAsia="宋体"/>
          <w:sz w:val="21"/>
          <w:szCs w:val="21"/>
        </w:rPr>
        <w:t>；</w:t>
      </w:r>
      <w:r>
        <w:rPr>
          <w:rStyle w:val="35"/>
          <w:rFonts w:hint="eastAsia" w:ascii="宋体" w:hAnsi="宋体" w:eastAsia="宋体"/>
          <w:sz w:val="21"/>
          <w:szCs w:val="21"/>
        </w:rPr>
        <w:t>②符合《中华人民共和国政府采购法》第二十二条的规定；本项目不接受联合参与，不允许转包、分包。供应商须提供供应商资格声明函，</w:t>
      </w:r>
      <w:r>
        <w:rPr>
          <w:rStyle w:val="35"/>
          <w:rFonts w:hint="eastAsia" w:ascii="宋体" w:hAnsi="宋体" w:eastAsia="宋体"/>
          <w:b/>
          <w:bCs/>
          <w:sz w:val="21"/>
          <w:szCs w:val="21"/>
        </w:rPr>
        <w:t>格式详见附件；</w:t>
      </w:r>
      <w:r>
        <w:rPr>
          <w:rStyle w:val="35"/>
          <w:rFonts w:hint="eastAsia" w:ascii="宋体" w:hAnsi="宋体" w:eastAsia="宋体"/>
          <w:sz w:val="21"/>
          <w:szCs w:val="21"/>
        </w:rPr>
        <w:t xml:space="preserve"> </w:t>
      </w:r>
    </w:p>
    <w:p w14:paraId="7FC06D49">
      <w:pPr>
        <w:pStyle w:val="32"/>
        <w:widowControl/>
        <w:numPr>
          <w:ilvl w:val="0"/>
          <w:numId w:val="2"/>
        </w:numPr>
        <w:spacing w:line="360" w:lineRule="auto"/>
        <w:ind w:firstLineChars="0"/>
        <w:jc w:val="left"/>
        <w:rPr>
          <w:rFonts w:ascii="宋体" w:hAnsi="宋体"/>
          <w:b/>
          <w:bCs/>
        </w:rPr>
      </w:pPr>
      <w:r>
        <w:rPr>
          <w:rFonts w:hint="eastAsia" w:ascii="宋体" w:hAnsi="宋体" w:cs="宋体"/>
          <w:b/>
          <w:bCs/>
        </w:rPr>
        <w:t>报价要求（</w:t>
      </w:r>
      <w:r>
        <w:rPr>
          <w:rFonts w:hint="eastAsia" w:ascii="宋体" w:hAnsi="宋体" w:cs="宋体"/>
        </w:rPr>
        <w:t>报价时需要提供以下盖章资料，</w:t>
      </w:r>
      <w:r>
        <w:rPr>
          <w:rFonts w:hint="eastAsia" w:ascii="宋体" w:hAnsi="宋体" w:cs="宋体"/>
          <w:b/>
          <w:bCs/>
        </w:rPr>
        <w:t>加盖响应供应商公章，</w:t>
      </w:r>
      <w:r>
        <w:rPr>
          <w:rFonts w:hint="eastAsia" w:ascii="宋体" w:hAnsi="宋体" w:cs="宋体"/>
        </w:rPr>
        <w:t>并对上传的响应文件资料承担责任</w:t>
      </w:r>
      <w:r>
        <w:rPr>
          <w:rFonts w:hint="eastAsia" w:ascii="宋体" w:hAnsi="宋体" w:cs="宋体"/>
          <w:b/>
          <w:bCs/>
        </w:rPr>
        <w:t>）</w:t>
      </w:r>
    </w:p>
    <w:p w14:paraId="60895B30">
      <w:pPr>
        <w:widowControl/>
        <w:numPr>
          <w:ilvl w:val="0"/>
          <w:numId w:val="7"/>
        </w:numPr>
        <w:spacing w:line="360" w:lineRule="auto"/>
        <w:jc w:val="left"/>
        <w:rPr>
          <w:rFonts w:ascii="宋体" w:hAnsi="宋体"/>
        </w:rPr>
      </w:pPr>
      <w:r>
        <w:rPr>
          <w:rFonts w:hint="eastAsia" w:ascii="宋体" w:hAnsi="宋体" w:cs="宋体"/>
        </w:rPr>
        <w:t>通过报名供应商应根据本公告要求，在项目规定的时间内对采购项目进行报价，同时按本公告要求完整</w:t>
      </w:r>
      <w:r>
        <w:rPr>
          <w:rFonts w:hint="eastAsia" w:ascii="宋体" w:hAnsi="宋体" w:cs="宋体"/>
          <w:lang w:eastAsia="zh-TW"/>
        </w:rPr>
        <w:t>、真实、准确地</w:t>
      </w:r>
      <w:r>
        <w:rPr>
          <w:rFonts w:hint="eastAsia" w:ascii="宋体" w:hAnsi="宋体" w:cs="宋体"/>
        </w:rPr>
        <w:t>填写并上传相应报价附件（</w:t>
      </w:r>
      <w:r>
        <w:rPr>
          <w:rFonts w:ascii="宋体" w:hAnsi="宋体"/>
          <w:b/>
          <w:color w:val="000000"/>
        </w:rPr>
        <w:t>报价表</w:t>
      </w:r>
      <w:r>
        <w:rPr>
          <w:rFonts w:hint="eastAsia" w:ascii="宋体" w:hAnsi="宋体"/>
          <w:b/>
          <w:color w:val="000000"/>
        </w:rPr>
        <w:t>、</w:t>
      </w:r>
      <w:r>
        <w:rPr>
          <w:rFonts w:hint="eastAsia" w:ascii="宋体" w:hAnsi="宋体" w:cs="Calibri Light"/>
          <w:b/>
          <w:color w:val="000000"/>
          <w:kern w:val="0"/>
          <w:szCs w:val="21"/>
          <w:lang w:bidi="ar"/>
        </w:rPr>
        <w:t>响应文件和评分标准</w:t>
      </w:r>
      <w:r>
        <w:rPr>
          <w:rFonts w:hint="eastAsia" w:ascii="宋体" w:hAnsi="宋体"/>
          <w:b/>
          <w:color w:val="000000"/>
          <w:szCs w:val="21"/>
        </w:rPr>
        <w:t>提及的相关证明材料等</w:t>
      </w:r>
      <w:r>
        <w:rPr>
          <w:rFonts w:hint="eastAsia" w:ascii="宋体" w:hAnsi="宋体" w:cs="宋体"/>
        </w:rPr>
        <w:t>）。</w:t>
      </w:r>
    </w:p>
    <w:p w14:paraId="78BAE4CF">
      <w:pPr>
        <w:widowControl/>
        <w:numPr>
          <w:ilvl w:val="0"/>
          <w:numId w:val="7"/>
        </w:numPr>
        <w:spacing w:line="360" w:lineRule="auto"/>
        <w:jc w:val="left"/>
        <w:rPr>
          <w:rFonts w:ascii="宋体" w:hAnsi="宋体" w:cs="宋体"/>
          <w:b/>
          <w:bCs/>
        </w:rPr>
      </w:pPr>
      <w:r>
        <w:rPr>
          <w:rFonts w:hint="eastAsia" w:ascii="宋体" w:hAnsi="宋体" w:cs="宋体"/>
          <w:b/>
          <w:bCs/>
        </w:rPr>
        <w:t>报价机会仅为1次，供应商应谨慎提交报价，由于错传、漏传、填错等原因导致的相关后果均由供应商自行承担。</w:t>
      </w:r>
    </w:p>
    <w:p w14:paraId="123CC1FF">
      <w:pPr>
        <w:widowControl/>
        <w:numPr>
          <w:ilvl w:val="0"/>
          <w:numId w:val="7"/>
        </w:numPr>
        <w:spacing w:line="360" w:lineRule="auto"/>
        <w:jc w:val="left"/>
        <w:rPr>
          <w:rFonts w:ascii="宋体" w:hAnsi="宋体" w:cs="宋体"/>
          <w:color w:val="000000"/>
        </w:rPr>
      </w:pPr>
      <w:r>
        <w:rPr>
          <w:rFonts w:hint="eastAsia" w:ascii="宋体" w:hAnsi="宋体" w:cs="宋体"/>
          <w:b/>
          <w:color w:val="000000"/>
          <w:u w:val="double"/>
        </w:rPr>
        <w:t>出现以下情形的，</w:t>
      </w:r>
      <w:r>
        <w:rPr>
          <w:rFonts w:hint="eastAsia" w:ascii="宋体" w:hAnsi="宋体" w:cs="宋体"/>
          <w:b/>
          <w:bCs/>
        </w:rPr>
        <w:t>有可能影响项目质量或者不能诚信履约的，</w:t>
      </w:r>
      <w:r>
        <w:rPr>
          <w:rFonts w:hint="eastAsia" w:ascii="宋体" w:hAnsi="宋体" w:cs="宋体"/>
          <w:b/>
          <w:color w:val="000000"/>
          <w:u w:val="double"/>
        </w:rPr>
        <w:t>供应商</w:t>
      </w:r>
      <w:r>
        <w:rPr>
          <w:rFonts w:hint="eastAsia" w:ascii="宋体" w:hAnsi="宋体" w:cs="宋体"/>
          <w:b/>
          <w:bCs/>
        </w:rPr>
        <w:t>须提供书面说明（说明其报价的合理性）。</w:t>
      </w:r>
    </w:p>
    <w:p w14:paraId="233C4F36">
      <w:pPr>
        <w:pStyle w:val="53"/>
        <w:spacing w:line="360" w:lineRule="auto"/>
        <w:ind w:left="851" w:firstLine="0"/>
        <w:rPr>
          <w:rFonts w:ascii="宋体" w:hAnsi="宋体" w:cs="宋体"/>
          <w:color w:val="000000"/>
        </w:rPr>
      </w:pPr>
      <w:r>
        <w:rPr>
          <w:rFonts w:hint="eastAsia" w:ascii="宋体" w:hAnsi="宋体" w:cs="宋体"/>
          <w:color w:val="000000"/>
        </w:rPr>
        <w:t>（1）响应供应商报价低于全部有效报价供应商的报价平均值50%的,即响应报价&lt;全部有效供应商报价的平均值×50%；</w:t>
      </w:r>
    </w:p>
    <w:p w14:paraId="272389DA">
      <w:pPr>
        <w:pStyle w:val="53"/>
        <w:spacing w:line="360" w:lineRule="auto"/>
        <w:ind w:left="851" w:firstLine="0"/>
        <w:rPr>
          <w:rFonts w:ascii="宋体" w:hAnsi="宋体" w:cs="宋体"/>
          <w:color w:val="000000"/>
        </w:rPr>
      </w:pPr>
      <w:r>
        <w:rPr>
          <w:rFonts w:hint="eastAsia" w:ascii="宋体" w:hAnsi="宋体" w:cs="宋体"/>
          <w:color w:val="000000"/>
        </w:rPr>
        <w:t>（2）响应供应商报价低于有效次低报价供应商的报价50%的，即响应报价&lt;有效次低报价供应商的报价×50%；</w:t>
      </w:r>
    </w:p>
    <w:p w14:paraId="6C8FC0DC">
      <w:pPr>
        <w:pStyle w:val="53"/>
        <w:spacing w:line="360" w:lineRule="auto"/>
        <w:ind w:left="851" w:firstLine="0"/>
        <w:rPr>
          <w:rFonts w:ascii="宋体" w:hAnsi="宋体" w:cs="宋体"/>
          <w:color w:val="000000"/>
        </w:rPr>
      </w:pPr>
      <w:r>
        <w:rPr>
          <w:rFonts w:hint="eastAsia" w:ascii="宋体" w:hAnsi="宋体" w:cs="宋体"/>
          <w:color w:val="000000"/>
        </w:rPr>
        <w:t>（3）响应供应商的报价低于采购项目最高限价45%的，即报价&lt;采购项目最高限价×45%；</w:t>
      </w:r>
    </w:p>
    <w:p w14:paraId="1D852937">
      <w:pPr>
        <w:pStyle w:val="53"/>
        <w:spacing w:line="360" w:lineRule="auto"/>
        <w:ind w:left="851" w:firstLine="0"/>
        <w:rPr>
          <w:rFonts w:ascii="宋体" w:hAnsi="宋体" w:cs="宋体"/>
          <w:color w:val="000000"/>
        </w:rPr>
      </w:pPr>
      <w:r>
        <w:rPr>
          <w:rFonts w:hint="eastAsia" w:ascii="宋体" w:hAnsi="宋体" w:cs="宋体"/>
          <w:color w:val="000000"/>
        </w:rPr>
        <w:t>（4）评审专家基于专业判断，认为供应商报价过低，有可能影响产品质量或不能诚信履约的其他情形。</w:t>
      </w:r>
    </w:p>
    <w:p w14:paraId="3075B45F">
      <w:pPr>
        <w:widowControl/>
        <w:numPr>
          <w:ilvl w:val="0"/>
          <w:numId w:val="7"/>
        </w:numPr>
        <w:spacing w:line="360" w:lineRule="auto"/>
        <w:jc w:val="left"/>
      </w:pPr>
      <w:r>
        <w:rPr>
          <w:rFonts w:hint="eastAsia" w:ascii="宋体" w:hAnsi="宋体" w:cs="宋体"/>
          <w:b/>
          <w:bCs/>
          <w:color w:val="000000"/>
          <w:u w:val="single"/>
        </w:rPr>
        <w:t>评审专家启动异常低价响应审查后，属于前述第1项至第4项情形的，应当要求相关供应商在评审期间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期间可不再重复提交。</w:t>
      </w:r>
    </w:p>
    <w:p w14:paraId="6F2B010E">
      <w:pPr>
        <w:widowControl/>
        <w:numPr>
          <w:ilvl w:val="0"/>
          <w:numId w:val="2"/>
        </w:numPr>
        <w:spacing w:line="360" w:lineRule="auto"/>
        <w:jc w:val="left"/>
        <w:rPr>
          <w:rFonts w:ascii="宋体" w:hAnsi="宋体"/>
          <w:b/>
          <w:bCs/>
        </w:rPr>
      </w:pPr>
      <w:r>
        <w:rPr>
          <w:rFonts w:hint="eastAsia" w:ascii="宋体" w:hAnsi="宋体" w:cs="宋体"/>
          <w:b/>
          <w:bCs/>
        </w:rPr>
        <w:t>确定成交候选人（供应商须在系统报价环节上传响应文件并报价，响应文件请按照本文件第三章响应文件模板进行编制后打印，每页加盖公章后扫描成一个</w:t>
      </w:r>
      <w:r>
        <w:rPr>
          <w:rFonts w:ascii="宋体" w:hAnsi="宋体" w:cs="宋体"/>
          <w:b/>
          <w:bCs/>
        </w:rPr>
        <w:t>PDF上传即可）</w:t>
      </w:r>
    </w:p>
    <w:p w14:paraId="468B1CED">
      <w:pPr>
        <w:numPr>
          <w:ilvl w:val="0"/>
          <w:numId w:val="8"/>
        </w:numPr>
        <w:spacing w:line="360" w:lineRule="auto"/>
      </w:pPr>
      <w:r>
        <w:rPr>
          <w:rFonts w:hint="eastAsia" w:ascii="宋体" w:hAnsi="宋体"/>
        </w:rPr>
        <w:t>本项目以综合评分法确定成交供应商，参与评审的专家按照评分标准以及权重分配的规定就各个响应供应商的技术状况、商务状况及其对零散采购文件要求的响应情况进行评议和比较，评出其技术评分和商务评分、价格评分相加得出其综合得分，推荐综合得分排名第一的响应供应商为第一成交候选人，排名第二的响应供应商为第二成交候选人，以此类推。</w:t>
      </w:r>
      <w:r>
        <w:rPr>
          <w:rFonts w:hint="eastAsia" w:ascii="宋体" w:hAnsi="宋体"/>
          <w:szCs w:val="21"/>
        </w:rPr>
        <w:t>若综合得分相同，按响应报价由低到高顺序排列；得分且响应报价相同的并列，响应文件满足零散采购文件全部实质性要求，且按照评分因素的量化指标评分得分最高的响应供应商为第一成交候选人。</w:t>
      </w:r>
    </w:p>
    <w:p w14:paraId="7CED4D88">
      <w:pPr>
        <w:widowControl/>
        <w:numPr>
          <w:ilvl w:val="0"/>
          <w:numId w:val="2"/>
        </w:numPr>
        <w:spacing w:line="360" w:lineRule="auto"/>
        <w:jc w:val="left"/>
        <w:rPr>
          <w:rFonts w:ascii="宋体" w:hAnsi="宋体"/>
          <w:b/>
          <w:bCs/>
        </w:rPr>
      </w:pPr>
      <w:r>
        <w:rPr>
          <w:rFonts w:hint="eastAsia" w:ascii="宋体" w:hAnsi="宋体" w:cs="宋体"/>
          <w:b/>
          <w:bCs/>
        </w:rPr>
        <w:t>无效报价</w:t>
      </w:r>
    </w:p>
    <w:p w14:paraId="371A93E8">
      <w:pPr>
        <w:pStyle w:val="36"/>
        <w:numPr>
          <w:ilvl w:val="0"/>
          <w:numId w:val="9"/>
        </w:numPr>
        <w:spacing w:line="360" w:lineRule="auto"/>
        <w:ind w:firstLineChars="0"/>
        <w:rPr>
          <w:rFonts w:ascii="宋体" w:hAnsi="宋体" w:cs="宋体"/>
        </w:rPr>
      </w:pPr>
      <w:r>
        <w:rPr>
          <w:rFonts w:hint="eastAsia" w:ascii="宋体" w:hAnsi="宋体" w:cs="宋体"/>
        </w:rPr>
        <w:t>参与项目的供应商报价超过最高限价或低于最低限价或超过项目对应产品单项最高限价的视为无效报价。</w:t>
      </w:r>
    </w:p>
    <w:p w14:paraId="30FE3723">
      <w:pPr>
        <w:widowControl/>
        <w:numPr>
          <w:ilvl w:val="0"/>
          <w:numId w:val="9"/>
        </w:numPr>
        <w:spacing w:line="360" w:lineRule="auto"/>
        <w:jc w:val="left"/>
        <w:rPr>
          <w:rFonts w:ascii="宋体" w:hAnsi="宋体"/>
        </w:rPr>
      </w:pPr>
      <w:r>
        <w:rPr>
          <w:rFonts w:hint="eastAsia" w:ascii="宋体" w:hAnsi="宋体" w:cs="宋体"/>
        </w:rPr>
        <w:t>参与项目的供应商须提供本项目要求的资质文件，如果不按公告规定或项目文件要求等相关规定提供符合要求的资质文件，将被视为无效报价；</w:t>
      </w:r>
    </w:p>
    <w:p w14:paraId="37771F06">
      <w:pPr>
        <w:widowControl/>
        <w:numPr>
          <w:ilvl w:val="0"/>
          <w:numId w:val="9"/>
        </w:numPr>
        <w:spacing w:line="360" w:lineRule="auto"/>
        <w:jc w:val="left"/>
        <w:rPr>
          <w:rFonts w:ascii="宋体" w:hAnsi="宋体"/>
        </w:rPr>
      </w:pPr>
      <w:r>
        <w:rPr>
          <w:rFonts w:hint="eastAsia" w:ascii="宋体" w:hAnsi="宋体" w:cs="宋体"/>
        </w:rPr>
        <w:t>参与项目的供应商须对本项目采购内容进行整体报价，任何只对其中一部分内容进行的报价都被视为无效报价。</w:t>
      </w:r>
    </w:p>
    <w:p w14:paraId="18DC3168">
      <w:pPr>
        <w:pStyle w:val="32"/>
        <w:numPr>
          <w:ilvl w:val="0"/>
          <w:numId w:val="9"/>
        </w:numPr>
        <w:spacing w:line="360" w:lineRule="auto"/>
        <w:ind w:firstLineChars="0"/>
        <w:rPr>
          <w:rFonts w:ascii="宋体" w:hAnsi="宋体" w:cs="宋体"/>
          <w:kern w:val="0"/>
        </w:rPr>
      </w:pPr>
      <w:r>
        <w:rPr>
          <w:rFonts w:hint="eastAsia" w:ascii="宋体" w:hAnsi="宋体" w:cs="宋体"/>
          <w:kern w:val="0"/>
        </w:rPr>
        <w:t>报价表以及有报价供应商落款的报价文件必须加盖响应供应商公章，否则视为无效报价；</w:t>
      </w:r>
    </w:p>
    <w:p w14:paraId="3CB9BD5F">
      <w:pPr>
        <w:pStyle w:val="37"/>
        <w:numPr>
          <w:ilvl w:val="0"/>
          <w:numId w:val="9"/>
        </w:numPr>
        <w:spacing w:line="360" w:lineRule="auto"/>
        <w:ind w:firstLineChars="0"/>
        <w:rPr>
          <w:rFonts w:ascii="宋体" w:hAnsi="宋体" w:cs="宋体"/>
          <w:kern w:val="0"/>
        </w:rPr>
      </w:pPr>
      <w:r>
        <w:rPr>
          <w:rFonts w:hint="eastAsia" w:ascii="宋体" w:hAnsi="宋体" w:cs="宋体"/>
          <w:kern w:val="0"/>
        </w:rPr>
        <w:t>大写金额和小写金额不一致的，以大写金额为准；单价金额小数点或者百分比有明显错位的，以报价表的总价为准，并修改单价；总价金额与按单价汇总金额不一致的，以单价金额计算结果为准；不接受总价优惠折扣形式的报价，供应商应将对项目的优惠直接在清单报价中体现出来。如果供应商不接受对其错误的更正，其报价将被视为无效报价；</w:t>
      </w:r>
    </w:p>
    <w:p w14:paraId="3F8CE4DB">
      <w:pPr>
        <w:pStyle w:val="32"/>
        <w:numPr>
          <w:ilvl w:val="0"/>
          <w:numId w:val="9"/>
        </w:numPr>
        <w:spacing w:line="360" w:lineRule="auto"/>
        <w:ind w:firstLineChars="0"/>
        <w:rPr>
          <w:rFonts w:ascii="宋体" w:hAnsi="宋体" w:cs="宋体"/>
          <w:b/>
          <w:bCs/>
          <w:kern w:val="0"/>
        </w:rPr>
      </w:pPr>
      <w:r>
        <w:rPr>
          <w:rFonts w:hint="eastAsia" w:ascii="宋体" w:hAnsi="宋体" w:cs="宋体"/>
          <w:b/>
          <w:bCs/>
          <w:kern w:val="0"/>
        </w:rPr>
        <w:t>按有关法律、法规、规章属于报价无效的。</w:t>
      </w:r>
    </w:p>
    <w:p w14:paraId="63D8E344">
      <w:pPr>
        <w:widowControl/>
        <w:numPr>
          <w:ilvl w:val="0"/>
          <w:numId w:val="9"/>
        </w:numPr>
        <w:shd w:val="clear" w:color="auto" w:fill="FFFFFF"/>
        <w:spacing w:line="360" w:lineRule="auto"/>
        <w:jc w:val="left"/>
        <w:rPr>
          <w:rFonts w:ascii="宋体" w:hAnsi="宋体"/>
          <w:kern w:val="0"/>
        </w:rPr>
      </w:pPr>
      <w:r>
        <w:rPr>
          <w:rFonts w:hint="eastAsia" w:ascii="宋体" w:hAnsi="宋体" w:cs="宋体"/>
          <w:b/>
          <w:bCs/>
          <w:kern w:val="0"/>
        </w:rPr>
        <w:t>有下列情形之一的，视为串通响应，其报价无效：</w:t>
      </w:r>
    </w:p>
    <w:p w14:paraId="59C60818">
      <w:pPr>
        <w:widowControl/>
        <w:numPr>
          <w:ilvl w:val="2"/>
          <w:numId w:val="10"/>
        </w:numPr>
        <w:spacing w:line="360" w:lineRule="auto"/>
        <w:jc w:val="left"/>
        <w:rPr>
          <w:rFonts w:ascii="宋体" w:hAnsi="宋体"/>
        </w:rPr>
      </w:pPr>
      <w:r>
        <w:rPr>
          <w:rFonts w:hint="eastAsia" w:ascii="宋体" w:hAnsi="宋体"/>
        </w:rPr>
        <w:t>存在单位负责人为同一人或存在控股、管理关系的不同单位参与同一项目；</w:t>
      </w:r>
    </w:p>
    <w:p w14:paraId="54BFD340">
      <w:pPr>
        <w:widowControl/>
        <w:numPr>
          <w:ilvl w:val="2"/>
          <w:numId w:val="10"/>
        </w:numPr>
        <w:spacing w:line="360" w:lineRule="auto"/>
        <w:jc w:val="left"/>
        <w:rPr>
          <w:rFonts w:ascii="宋体" w:hAnsi="宋体"/>
        </w:rPr>
      </w:pPr>
      <w:r>
        <w:rPr>
          <w:rFonts w:hint="eastAsia" w:ascii="宋体" w:hAnsi="宋体" w:cs="宋体"/>
        </w:rPr>
        <w:t>不同供应商的响应文件由同一单位或者个人编制；</w:t>
      </w:r>
    </w:p>
    <w:p w14:paraId="24A44ABF">
      <w:pPr>
        <w:widowControl/>
        <w:numPr>
          <w:ilvl w:val="2"/>
          <w:numId w:val="10"/>
        </w:numPr>
        <w:spacing w:line="360" w:lineRule="auto"/>
        <w:jc w:val="left"/>
        <w:rPr>
          <w:rFonts w:ascii="宋体" w:hAnsi="宋体"/>
        </w:rPr>
      </w:pPr>
      <w:r>
        <w:rPr>
          <w:rFonts w:hint="eastAsia" w:ascii="宋体" w:hAnsi="宋体" w:cs="宋体"/>
        </w:rPr>
        <w:t>不同供应商委托同一单位或者个人办理项目事宜；</w:t>
      </w:r>
    </w:p>
    <w:p w14:paraId="58D451C1">
      <w:pPr>
        <w:widowControl/>
        <w:numPr>
          <w:ilvl w:val="2"/>
          <w:numId w:val="10"/>
        </w:numPr>
        <w:spacing w:line="360" w:lineRule="auto"/>
        <w:jc w:val="left"/>
        <w:rPr>
          <w:rFonts w:ascii="宋体" w:hAnsi="宋体"/>
        </w:rPr>
      </w:pPr>
      <w:r>
        <w:rPr>
          <w:rFonts w:hint="eastAsia" w:ascii="宋体" w:hAnsi="宋体" w:cs="宋体"/>
        </w:rPr>
        <w:t>不同供应商使用同一</w:t>
      </w:r>
      <w:r>
        <w:rPr>
          <w:rFonts w:ascii="宋体" w:hAnsi="宋体" w:cs="宋体"/>
        </w:rPr>
        <w:t>IP</w:t>
      </w:r>
      <w:r>
        <w:rPr>
          <w:rFonts w:hint="eastAsia" w:ascii="宋体" w:hAnsi="宋体" w:cs="宋体"/>
        </w:rPr>
        <w:t>地址参与项目；</w:t>
      </w:r>
    </w:p>
    <w:p w14:paraId="3E7E4B98">
      <w:pPr>
        <w:widowControl/>
        <w:numPr>
          <w:ilvl w:val="2"/>
          <w:numId w:val="10"/>
        </w:numPr>
        <w:spacing w:line="360" w:lineRule="auto"/>
        <w:jc w:val="left"/>
        <w:rPr>
          <w:rFonts w:ascii="宋体" w:hAnsi="宋体"/>
        </w:rPr>
      </w:pPr>
      <w:r>
        <w:rPr>
          <w:rFonts w:hint="eastAsia" w:ascii="宋体" w:hAnsi="宋体" w:cs="宋体"/>
        </w:rPr>
        <w:t>不同供应商的响应文件载明的项目管理成员或者联系人员为同一人；</w:t>
      </w:r>
    </w:p>
    <w:p w14:paraId="58165D04">
      <w:pPr>
        <w:widowControl/>
        <w:numPr>
          <w:ilvl w:val="2"/>
          <w:numId w:val="10"/>
        </w:numPr>
        <w:spacing w:line="360" w:lineRule="auto"/>
        <w:jc w:val="left"/>
        <w:rPr>
          <w:rFonts w:ascii="宋体" w:hAnsi="宋体"/>
        </w:rPr>
      </w:pPr>
      <w:r>
        <w:rPr>
          <w:rFonts w:hint="eastAsia" w:ascii="宋体" w:hAnsi="宋体" w:cs="宋体"/>
        </w:rPr>
        <w:t>不同供应商的响应文件异常一致或者报价呈规律性差异；</w:t>
      </w:r>
    </w:p>
    <w:p w14:paraId="3F94AC9A">
      <w:pPr>
        <w:widowControl/>
        <w:numPr>
          <w:ilvl w:val="2"/>
          <w:numId w:val="10"/>
        </w:numPr>
        <w:spacing w:line="360" w:lineRule="auto"/>
        <w:jc w:val="left"/>
        <w:rPr>
          <w:rFonts w:ascii="宋体" w:hAnsi="宋体"/>
        </w:rPr>
      </w:pPr>
      <w:r>
        <w:rPr>
          <w:rFonts w:hint="eastAsia" w:ascii="宋体" w:hAnsi="宋体" w:cs="宋体"/>
        </w:rPr>
        <w:t>不同供应商的响应文件相互混淆；</w:t>
      </w:r>
    </w:p>
    <w:p w14:paraId="0792CD8A">
      <w:pPr>
        <w:widowControl/>
        <w:numPr>
          <w:ilvl w:val="2"/>
          <w:numId w:val="10"/>
        </w:numPr>
        <w:spacing w:line="360" w:lineRule="auto"/>
        <w:jc w:val="left"/>
        <w:rPr>
          <w:rFonts w:ascii="宋体" w:hAnsi="宋体"/>
        </w:rPr>
      </w:pPr>
      <w:r>
        <w:rPr>
          <w:rFonts w:hint="eastAsia" w:ascii="宋体" w:hAnsi="宋体" w:cs="宋体"/>
        </w:rPr>
        <w:t>不同供应商的保障金/保证金从同一单位或者个人的账户转出；</w:t>
      </w:r>
    </w:p>
    <w:p w14:paraId="7AE9021F">
      <w:pPr>
        <w:widowControl/>
        <w:numPr>
          <w:ilvl w:val="0"/>
          <w:numId w:val="2"/>
        </w:numPr>
        <w:spacing w:line="360" w:lineRule="auto"/>
        <w:jc w:val="left"/>
        <w:rPr>
          <w:rFonts w:ascii="宋体" w:hAnsi="宋体"/>
        </w:rPr>
      </w:pPr>
      <w:r>
        <w:rPr>
          <w:rFonts w:hint="eastAsia" w:ascii="宋体" w:hAnsi="宋体" w:cs="宋体"/>
          <w:b/>
          <w:bCs/>
        </w:rPr>
        <w:t>失败情形</w:t>
      </w:r>
    </w:p>
    <w:p w14:paraId="5B05D249">
      <w:pPr>
        <w:pStyle w:val="36"/>
        <w:numPr>
          <w:ilvl w:val="0"/>
          <w:numId w:val="11"/>
        </w:numPr>
        <w:spacing w:line="360" w:lineRule="auto"/>
        <w:ind w:firstLineChars="0"/>
        <w:rPr>
          <w:rFonts w:ascii="宋体" w:hAnsi="宋体" w:cs="宋体"/>
        </w:rPr>
      </w:pPr>
      <w:r>
        <w:rPr>
          <w:rFonts w:ascii="宋体" w:hAnsi="宋体" w:cs="宋体"/>
        </w:rPr>
        <w:t>出现下列情况的，本次</w:t>
      </w:r>
      <w:r>
        <w:rPr>
          <w:rFonts w:hint="eastAsia" w:ascii="宋体" w:hAnsi="宋体" w:cs="宋体"/>
        </w:rPr>
        <w:t>零散采购</w:t>
      </w:r>
      <w:r>
        <w:rPr>
          <w:rFonts w:ascii="宋体" w:hAnsi="宋体" w:cs="宋体"/>
        </w:rPr>
        <w:t>活动失败：</w:t>
      </w:r>
    </w:p>
    <w:p w14:paraId="451D2EB4">
      <w:pPr>
        <w:widowControl/>
        <w:numPr>
          <w:ilvl w:val="2"/>
          <w:numId w:val="12"/>
        </w:numPr>
        <w:spacing w:line="360" w:lineRule="auto"/>
        <w:jc w:val="left"/>
        <w:rPr>
          <w:rFonts w:ascii="宋体" w:hAnsi="宋体" w:cs="宋体"/>
        </w:rPr>
      </w:pPr>
      <w:r>
        <w:rPr>
          <w:rFonts w:ascii="宋体" w:hAnsi="宋体" w:cs="宋体"/>
        </w:rPr>
        <w:t>报名供应商不足</w:t>
      </w:r>
      <w:r>
        <w:rPr>
          <w:rFonts w:hint="eastAsia" w:ascii="宋体" w:hAnsi="宋体" w:cs="宋体"/>
        </w:rPr>
        <w:t>3</w:t>
      </w:r>
      <w:r>
        <w:rPr>
          <w:rFonts w:ascii="宋体" w:hAnsi="宋体" w:cs="宋体"/>
        </w:rPr>
        <w:t>家；</w:t>
      </w:r>
    </w:p>
    <w:p w14:paraId="3954C176">
      <w:pPr>
        <w:widowControl/>
        <w:numPr>
          <w:ilvl w:val="2"/>
          <w:numId w:val="12"/>
        </w:numPr>
        <w:spacing w:line="360" w:lineRule="auto"/>
        <w:jc w:val="left"/>
        <w:rPr>
          <w:rFonts w:ascii="宋体" w:hAnsi="宋体" w:cs="宋体"/>
        </w:rPr>
      </w:pPr>
      <w:r>
        <w:rPr>
          <w:rFonts w:hint="eastAsia" w:ascii="宋体" w:hAnsi="宋体" w:cs="宋体"/>
        </w:rPr>
        <w:t>有效参与评审的供应商不足3</w:t>
      </w:r>
      <w:r>
        <w:rPr>
          <w:rFonts w:ascii="宋体" w:hAnsi="宋体" w:cs="宋体"/>
        </w:rPr>
        <w:t>家。</w:t>
      </w:r>
    </w:p>
    <w:p w14:paraId="26BD5AD3">
      <w:pPr>
        <w:pStyle w:val="36"/>
        <w:numPr>
          <w:ilvl w:val="0"/>
          <w:numId w:val="11"/>
        </w:numPr>
        <w:spacing w:line="360" w:lineRule="auto"/>
        <w:ind w:firstLineChars="0"/>
        <w:rPr>
          <w:rFonts w:ascii="宋体" w:hAnsi="宋体" w:cs="宋体"/>
        </w:rPr>
      </w:pPr>
      <w:r>
        <w:rPr>
          <w:rFonts w:ascii="宋体" w:hAnsi="宋体" w:cs="宋体"/>
        </w:rPr>
        <w:t>出现影响采购公正的违法、违规行为的</w:t>
      </w:r>
      <w:r>
        <w:rPr>
          <w:rFonts w:hint="eastAsia" w:ascii="宋体" w:hAnsi="宋体" w:cs="宋体"/>
        </w:rPr>
        <w:t>；</w:t>
      </w:r>
    </w:p>
    <w:p w14:paraId="4D3AB65D">
      <w:pPr>
        <w:pStyle w:val="36"/>
        <w:numPr>
          <w:ilvl w:val="0"/>
          <w:numId w:val="11"/>
        </w:numPr>
        <w:spacing w:line="360" w:lineRule="auto"/>
        <w:ind w:firstLineChars="0"/>
        <w:rPr>
          <w:rFonts w:ascii="宋体" w:hAnsi="宋体" w:cs="宋体"/>
        </w:rPr>
      </w:pPr>
      <w:r>
        <w:rPr>
          <w:rFonts w:ascii="宋体" w:hAnsi="宋体" w:cs="宋体"/>
        </w:rPr>
        <w:t>因重大变故，采购任务取消的</w:t>
      </w:r>
      <w:r>
        <w:rPr>
          <w:rFonts w:hint="eastAsia" w:ascii="宋体" w:hAnsi="宋体" w:cs="宋体"/>
        </w:rPr>
        <w:t>；</w:t>
      </w:r>
    </w:p>
    <w:p w14:paraId="2CE558A0">
      <w:pPr>
        <w:widowControl/>
        <w:numPr>
          <w:ilvl w:val="0"/>
          <w:numId w:val="2"/>
        </w:numPr>
        <w:spacing w:line="360" w:lineRule="auto"/>
        <w:jc w:val="left"/>
        <w:rPr>
          <w:rFonts w:ascii="宋体" w:hAnsi="宋体"/>
          <w:b/>
          <w:bCs/>
        </w:rPr>
      </w:pPr>
      <w:r>
        <w:rPr>
          <w:rFonts w:hint="eastAsia" w:ascii="宋体" w:hAnsi="宋体" w:cs="宋体"/>
          <w:b/>
          <w:bCs/>
        </w:rPr>
        <w:t>平台使用费</w:t>
      </w:r>
    </w:p>
    <w:p w14:paraId="06EE2D7D">
      <w:pPr>
        <w:pStyle w:val="32"/>
        <w:numPr>
          <w:ilvl w:val="0"/>
          <w:numId w:val="13"/>
        </w:numPr>
        <w:spacing w:line="360" w:lineRule="auto"/>
        <w:ind w:firstLineChars="0"/>
        <w:rPr>
          <w:rFonts w:ascii="宋体" w:hAnsi="宋体"/>
          <w:kern w:val="0"/>
        </w:rPr>
      </w:pPr>
      <w:r>
        <w:rPr>
          <w:rFonts w:hint="eastAsia" w:ascii="宋体" w:hAnsi="宋体"/>
          <w:kern w:val="0"/>
        </w:rPr>
        <w:t>成交供应商须向平台服务商云采链线上采购一体化平台缴纳平台使用费，金额为成交金额的1.5%（四舍五入取整数）。</w:t>
      </w:r>
    </w:p>
    <w:p w14:paraId="3FF03355">
      <w:pPr>
        <w:widowControl/>
        <w:numPr>
          <w:ilvl w:val="0"/>
          <w:numId w:val="13"/>
        </w:numPr>
        <w:autoSpaceDE w:val="0"/>
        <w:autoSpaceDN w:val="0"/>
        <w:adjustRightInd w:val="0"/>
        <w:spacing w:line="360" w:lineRule="auto"/>
        <w:jc w:val="left"/>
        <w:rPr>
          <w:rFonts w:ascii="宋体" w:hAnsi="宋体"/>
          <w:kern w:val="0"/>
        </w:rPr>
      </w:pPr>
      <w:r>
        <w:rPr>
          <w:rFonts w:hint="eastAsia" w:ascii="宋体" w:hAnsi="宋体"/>
          <w:kern w:val="0"/>
        </w:rPr>
        <w:t>成交供应商无正当理由放弃成交资格的必须按项目公告等相关规定缴纳相应的平台使用费；</w:t>
      </w:r>
    </w:p>
    <w:p w14:paraId="553DFAF5">
      <w:pPr>
        <w:widowControl/>
        <w:numPr>
          <w:ilvl w:val="0"/>
          <w:numId w:val="13"/>
        </w:numPr>
        <w:autoSpaceDE w:val="0"/>
        <w:autoSpaceDN w:val="0"/>
        <w:adjustRightInd w:val="0"/>
        <w:spacing w:line="360" w:lineRule="auto"/>
        <w:jc w:val="left"/>
        <w:rPr>
          <w:rFonts w:ascii="宋体" w:hAnsi="宋体"/>
          <w:kern w:val="0"/>
        </w:rPr>
      </w:pPr>
      <w:r>
        <w:rPr>
          <w:rFonts w:hint="eastAsia" w:ascii="宋体" w:hAnsi="宋体"/>
          <w:kern w:val="0"/>
        </w:rPr>
        <w:t>如确实因不可抗力放弃成交资格的，应在不可抗力发生后三个工作日内予以通知采购代理机构并提供相关的证明；如逾期，采购代理机构不予退还平台使用费。</w:t>
      </w:r>
    </w:p>
    <w:p w14:paraId="20EB4BCB">
      <w:pPr>
        <w:widowControl/>
        <w:numPr>
          <w:ilvl w:val="0"/>
          <w:numId w:val="2"/>
        </w:numPr>
        <w:spacing w:line="360" w:lineRule="auto"/>
        <w:jc w:val="left"/>
        <w:rPr>
          <w:rFonts w:ascii="宋体" w:hAnsi="宋体"/>
          <w:b/>
          <w:bCs/>
        </w:rPr>
      </w:pPr>
      <w:r>
        <w:rPr>
          <w:rFonts w:hint="eastAsia" w:ascii="宋体" w:hAnsi="宋体" w:cs="宋体"/>
          <w:b/>
          <w:bCs/>
        </w:rPr>
        <w:t>联系方式</w:t>
      </w:r>
    </w:p>
    <w:p w14:paraId="478D616C">
      <w:pPr>
        <w:widowControl/>
        <w:spacing w:line="360" w:lineRule="auto"/>
        <w:ind w:left="420"/>
        <w:jc w:val="left"/>
        <w:rPr>
          <w:rFonts w:ascii="宋体" w:hAnsi="宋体"/>
        </w:rPr>
      </w:pPr>
      <w:r>
        <w:rPr>
          <w:rFonts w:hint="eastAsia" w:ascii="宋体" w:hAnsi="宋体" w:cs="宋体"/>
        </w:rPr>
        <w:t>扫码关注微信公众号</w:t>
      </w:r>
      <w:r>
        <w:rPr>
          <w:rFonts w:ascii="宋体" w:hAnsi="宋体"/>
        </w:rPr>
        <w:t>“</w:t>
      </w:r>
      <w:r>
        <w:rPr>
          <w:rFonts w:hint="eastAsia" w:ascii="宋体" w:hAnsi="宋体" w:cs="宋体"/>
        </w:rPr>
        <w:t>云采链互联服务平台</w:t>
      </w:r>
      <w:r>
        <w:rPr>
          <w:rFonts w:ascii="宋体" w:hAnsi="宋体"/>
        </w:rPr>
        <w:t>”</w:t>
      </w:r>
      <w:r>
        <w:rPr>
          <w:rFonts w:hint="eastAsia" w:ascii="宋体" w:hAnsi="宋体" w:cs="宋体"/>
        </w:rPr>
        <w:t>，即可在线咨询相关事项；</w:t>
      </w:r>
    </w:p>
    <w:p w14:paraId="6CE1BAB7">
      <w:pPr>
        <w:widowControl/>
        <w:spacing w:line="360" w:lineRule="auto"/>
        <w:ind w:left="420"/>
        <w:jc w:val="center"/>
        <w:outlineLvl w:val="0"/>
        <w:rPr>
          <w:rFonts w:ascii="宋体" w:hAnsi="宋体"/>
          <w:b/>
          <w:bCs/>
          <w:color w:val="000000"/>
          <w:kern w:val="0"/>
          <w:sz w:val="32"/>
          <w:szCs w:val="32"/>
          <w:lang w:val="zh-CN"/>
        </w:rPr>
      </w:pPr>
      <w:r>
        <w:rPr>
          <w:rFonts w:ascii="宋体" w:hAnsi="宋体"/>
        </w:rPr>
        <w:drawing>
          <wp:inline distT="0" distB="0" distL="0" distR="0">
            <wp:extent cx="1650365" cy="1650365"/>
            <wp:effectExtent l="0" t="0" r="6985" b="698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650365" cy="1650365"/>
                    </a:xfrm>
                    <a:prstGeom prst="rect">
                      <a:avLst/>
                    </a:prstGeom>
                    <a:noFill/>
                    <a:ln>
                      <a:noFill/>
                    </a:ln>
                  </pic:spPr>
                </pic:pic>
              </a:graphicData>
            </a:graphic>
          </wp:inline>
        </w:drawing>
      </w:r>
      <w:r>
        <w:rPr>
          <w:rFonts w:ascii="宋体" w:hAnsi="宋体"/>
          <w:color w:val="000000"/>
        </w:rPr>
        <w:br w:type="page"/>
      </w:r>
      <w:r>
        <w:rPr>
          <w:rFonts w:hint="eastAsia" w:ascii="宋体" w:hAnsi="宋体"/>
          <w:b/>
          <w:bCs/>
          <w:color w:val="000000"/>
          <w:kern w:val="0"/>
          <w:sz w:val="32"/>
          <w:szCs w:val="32"/>
          <w:lang w:val="zh-CN"/>
        </w:rPr>
        <w:t>第二章 用户需求书</w:t>
      </w:r>
    </w:p>
    <w:p w14:paraId="5CB78B7E">
      <w:pPr>
        <w:snapToGrid w:val="0"/>
        <w:spacing w:line="360" w:lineRule="auto"/>
        <w:ind w:left="517" w:hanging="517" w:hangingChars="245"/>
      </w:pPr>
      <w:r>
        <w:rPr>
          <w:rFonts w:hint="eastAsia" w:ascii="宋体" w:hAnsi="宋体"/>
          <w:b/>
          <w:bCs/>
          <w:szCs w:val="21"/>
        </w:rPr>
        <w:t>说明：</w:t>
      </w:r>
    </w:p>
    <w:p w14:paraId="0BD32585">
      <w:pPr>
        <w:numPr>
          <w:ilvl w:val="0"/>
          <w:numId w:val="14"/>
        </w:numPr>
        <w:snapToGrid w:val="0"/>
        <w:spacing w:line="360" w:lineRule="auto"/>
        <w:rPr>
          <w:rFonts w:ascii="宋体" w:hAnsi="宋体"/>
          <w:b/>
          <w:bCs/>
          <w:szCs w:val="21"/>
        </w:rPr>
      </w:pPr>
      <w:r>
        <w:rPr>
          <w:rFonts w:hint="eastAsia" w:ascii="宋体" w:hAnsi="宋体"/>
          <w:b/>
          <w:bCs/>
          <w:szCs w:val="21"/>
        </w:rPr>
        <w:t>用</w:t>
      </w:r>
      <w:r>
        <w:rPr>
          <w:rFonts w:hint="eastAsia"/>
          <w:b/>
          <w:szCs w:val="21"/>
        </w:rPr>
        <w:t>户需求书中打“</w:t>
      </w:r>
      <w:bookmarkStart w:id="0" w:name="OLE_LINK8"/>
      <w:r>
        <w:rPr>
          <w:rFonts w:hint="eastAsia"/>
          <w:b/>
          <w:szCs w:val="21"/>
        </w:rPr>
        <w:t>★</w:t>
      </w:r>
      <w:bookmarkEnd w:id="0"/>
      <w:r>
        <w:rPr>
          <w:rFonts w:hint="eastAsia"/>
          <w:b/>
          <w:szCs w:val="21"/>
        </w:rPr>
        <w:t>”号条款为实质性条款，若有任何一条负偏离或不满足则导致无效响应</w:t>
      </w:r>
      <w:r>
        <w:rPr>
          <w:rFonts w:hint="eastAsia" w:ascii="宋体" w:hAnsi="宋体"/>
          <w:b/>
          <w:bCs/>
          <w:szCs w:val="21"/>
        </w:rPr>
        <w:t>。</w:t>
      </w:r>
    </w:p>
    <w:p w14:paraId="74A45611">
      <w:pPr>
        <w:numPr>
          <w:ilvl w:val="0"/>
          <w:numId w:val="14"/>
        </w:numPr>
        <w:snapToGrid w:val="0"/>
        <w:spacing w:line="360" w:lineRule="auto"/>
        <w:rPr>
          <w:rFonts w:ascii="宋体" w:hAnsi="宋体"/>
          <w:b/>
          <w:szCs w:val="21"/>
        </w:rPr>
      </w:pPr>
      <w:r>
        <w:rPr>
          <w:rFonts w:hint="eastAsia" w:ascii="宋体" w:hAnsi="宋体"/>
          <w:b/>
          <w:bCs/>
          <w:szCs w:val="21"/>
        </w:rPr>
        <w:t>用</w:t>
      </w:r>
      <w:r>
        <w:rPr>
          <w:rFonts w:hint="eastAsia"/>
          <w:b/>
          <w:szCs w:val="21"/>
        </w:rPr>
        <w:t>户需求书中打“▲”号条款为重要技术参数，若有部分“▲”条款未响应或不满足，将导致其响应性评审扣分，但不作为无效响应条款</w:t>
      </w:r>
      <w:r>
        <w:rPr>
          <w:rFonts w:ascii="宋体" w:hAnsi="宋体"/>
          <w:b/>
          <w:bCs/>
          <w:szCs w:val="21"/>
        </w:rPr>
        <w:t>。</w:t>
      </w:r>
    </w:p>
    <w:p w14:paraId="1D3EFD19">
      <w:pPr>
        <w:numPr>
          <w:ilvl w:val="2"/>
          <w:numId w:val="15"/>
        </w:numPr>
        <w:tabs>
          <w:tab w:val="left" w:pos="420"/>
          <w:tab w:val="left" w:pos="540"/>
        </w:tabs>
        <w:spacing w:line="360" w:lineRule="auto"/>
        <w:ind w:left="0" w:firstLine="0"/>
        <w:rPr>
          <w:rFonts w:ascii="宋体" w:hAnsi="宋体"/>
          <w:b/>
        </w:rPr>
      </w:pPr>
      <w:r>
        <w:rPr>
          <w:rFonts w:ascii="宋体" w:hAnsi="宋体"/>
          <w:b/>
        </w:rPr>
        <w:t>项目一览表</w:t>
      </w:r>
    </w:p>
    <w:tbl>
      <w:tblPr>
        <w:tblStyle w:val="17"/>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413"/>
        <w:gridCol w:w="1399"/>
        <w:gridCol w:w="2582"/>
        <w:gridCol w:w="2125"/>
      </w:tblGrid>
      <w:tr w14:paraId="4678B7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416" w:type="pct"/>
            <w:shd w:val="clear" w:color="auto" w:fill="EEECE1"/>
            <w:vAlign w:val="center"/>
          </w:tcPr>
          <w:p w14:paraId="14288F51">
            <w:pPr>
              <w:adjustRightInd w:val="0"/>
              <w:snapToGrid w:val="0"/>
              <w:spacing w:line="360" w:lineRule="auto"/>
              <w:jc w:val="center"/>
              <w:rPr>
                <w:rFonts w:ascii="宋体" w:hAnsi="宋体" w:cs="宋体"/>
                <w:b/>
                <w:color w:val="000000"/>
                <w:szCs w:val="21"/>
              </w:rPr>
            </w:pPr>
            <w:r>
              <w:rPr>
                <w:rFonts w:hint="eastAsia" w:ascii="宋体" w:hAnsi="宋体" w:cs="宋体"/>
                <w:b/>
                <w:color w:val="000000"/>
                <w:szCs w:val="21"/>
              </w:rPr>
              <w:t>项目名称</w:t>
            </w:r>
          </w:p>
        </w:tc>
        <w:tc>
          <w:tcPr>
            <w:tcW w:w="821" w:type="pct"/>
            <w:shd w:val="clear" w:color="auto" w:fill="EEECE1"/>
            <w:vAlign w:val="center"/>
          </w:tcPr>
          <w:p w14:paraId="419950E9">
            <w:pPr>
              <w:jc w:val="center"/>
              <w:rPr>
                <w:rFonts w:ascii="宋体" w:hAnsi="宋体" w:cs="宋体"/>
                <w:b/>
                <w:color w:val="000000"/>
                <w:szCs w:val="21"/>
              </w:rPr>
            </w:pPr>
            <w:r>
              <w:rPr>
                <w:rFonts w:hint="eastAsia" w:ascii="宋体" w:hAnsi="宋体" w:cs="宋体"/>
                <w:b/>
              </w:rPr>
              <w:t>数量</w:t>
            </w:r>
          </w:p>
        </w:tc>
        <w:tc>
          <w:tcPr>
            <w:tcW w:w="1515" w:type="pct"/>
            <w:shd w:val="clear" w:color="auto" w:fill="EEECE1"/>
            <w:vAlign w:val="center"/>
          </w:tcPr>
          <w:p w14:paraId="07F67D52">
            <w:pPr>
              <w:pStyle w:val="38"/>
              <w:spacing w:before="99" w:line="360" w:lineRule="auto"/>
              <w:ind w:left="51" w:right="38"/>
              <w:jc w:val="center"/>
              <w:rPr>
                <w:b/>
                <w:color w:val="000000"/>
                <w:szCs w:val="21"/>
              </w:rPr>
            </w:pPr>
            <w:r>
              <w:rPr>
                <w:rFonts w:hint="eastAsia"/>
                <w:b/>
                <w:color w:val="000000"/>
                <w:lang w:val="en-US"/>
              </w:rPr>
              <w:t>服务</w:t>
            </w:r>
            <w:r>
              <w:rPr>
                <w:rFonts w:hint="eastAsia"/>
                <w:b/>
                <w:color w:val="000000"/>
              </w:rPr>
              <w:t>期</w:t>
            </w:r>
          </w:p>
        </w:tc>
        <w:tc>
          <w:tcPr>
            <w:tcW w:w="1246" w:type="pct"/>
            <w:shd w:val="clear" w:color="auto" w:fill="EEECE1"/>
            <w:vAlign w:val="center"/>
          </w:tcPr>
          <w:p w14:paraId="6899D729">
            <w:pPr>
              <w:pStyle w:val="38"/>
              <w:spacing w:before="99" w:line="360" w:lineRule="auto"/>
              <w:ind w:left="64" w:right="54"/>
              <w:jc w:val="center"/>
              <w:rPr>
                <w:b/>
                <w:color w:val="000000"/>
                <w:szCs w:val="21"/>
              </w:rPr>
            </w:pPr>
            <w:r>
              <w:rPr>
                <w:rFonts w:hint="eastAsia"/>
                <w:b/>
                <w:szCs w:val="21"/>
              </w:rPr>
              <w:t>最高限价（含税）</w:t>
            </w:r>
          </w:p>
        </w:tc>
      </w:tr>
      <w:tr w14:paraId="2EAF9C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416" w:type="pct"/>
            <w:vAlign w:val="center"/>
          </w:tcPr>
          <w:p w14:paraId="2489089F">
            <w:pPr>
              <w:spacing w:line="360" w:lineRule="auto"/>
              <w:jc w:val="center"/>
              <w:rPr>
                <w:rFonts w:ascii="宋体" w:hAnsi="宋体" w:cs="宋体"/>
                <w:b/>
                <w:color w:val="000000"/>
                <w:szCs w:val="21"/>
              </w:rPr>
            </w:pPr>
            <w:r>
              <w:rPr>
                <w:rFonts w:hint="eastAsia" w:ascii="宋体" w:hAnsi="宋体" w:cs="宋体"/>
                <w:color w:val="000000"/>
                <w:szCs w:val="21"/>
              </w:rPr>
              <w:t>公共卫生检验管理系统2026-2027年运维服务项目</w:t>
            </w:r>
          </w:p>
        </w:tc>
        <w:tc>
          <w:tcPr>
            <w:tcW w:w="821" w:type="pct"/>
            <w:vAlign w:val="center"/>
          </w:tcPr>
          <w:p w14:paraId="30DB1C11">
            <w:pPr>
              <w:spacing w:line="360" w:lineRule="auto"/>
              <w:jc w:val="center"/>
              <w:rPr>
                <w:szCs w:val="21"/>
              </w:rPr>
            </w:pPr>
            <w:r>
              <w:rPr>
                <w:rFonts w:hint="eastAsia" w:ascii="宋体" w:hAnsi="宋体" w:cs="宋体"/>
                <w:color w:val="000000"/>
                <w:szCs w:val="21"/>
              </w:rPr>
              <w:t>1项</w:t>
            </w:r>
          </w:p>
        </w:tc>
        <w:tc>
          <w:tcPr>
            <w:tcW w:w="1515" w:type="pct"/>
            <w:vAlign w:val="center"/>
          </w:tcPr>
          <w:p w14:paraId="7B0F3F0C">
            <w:pPr>
              <w:widowControl/>
              <w:spacing w:line="360" w:lineRule="auto"/>
              <w:ind w:right="105" w:rightChars="50"/>
              <w:jc w:val="center"/>
              <w:rPr>
                <w:rFonts w:ascii="宋体" w:hAnsi="宋体" w:cs="宋体"/>
                <w:szCs w:val="21"/>
              </w:rPr>
            </w:pPr>
            <w:r>
              <w:rPr>
                <w:rFonts w:hint="eastAsia" w:asciiTheme="minorEastAsia" w:hAnsiTheme="minorEastAsia" w:eastAsiaTheme="minorEastAsia" w:cstheme="minorEastAsia"/>
                <w:szCs w:val="21"/>
              </w:rPr>
              <w:t>维护服务周期为12个月，服务时间从2026年10月1日起</w:t>
            </w:r>
          </w:p>
        </w:tc>
        <w:tc>
          <w:tcPr>
            <w:tcW w:w="1246" w:type="pct"/>
            <w:vAlign w:val="center"/>
          </w:tcPr>
          <w:p w14:paraId="7925A209">
            <w:pPr>
              <w:spacing w:line="360" w:lineRule="auto"/>
              <w:jc w:val="center"/>
              <w:rPr>
                <w:rFonts w:ascii="宋体" w:hAnsi="宋体" w:cs="宋体"/>
                <w:b/>
                <w:szCs w:val="21"/>
              </w:rPr>
            </w:pPr>
            <w:r>
              <w:rPr>
                <w:rFonts w:hint="eastAsia" w:ascii="宋体" w:hAnsi="宋体" w:cs="仿宋_GB2312"/>
                <w:color w:val="000000"/>
                <w:szCs w:val="21"/>
              </w:rPr>
              <w:t>人民币150000.00元</w:t>
            </w:r>
          </w:p>
        </w:tc>
      </w:tr>
    </w:tbl>
    <w:p w14:paraId="6E201854">
      <w:pPr>
        <w:numPr>
          <w:ilvl w:val="2"/>
          <w:numId w:val="15"/>
        </w:numPr>
        <w:tabs>
          <w:tab w:val="left" w:pos="420"/>
          <w:tab w:val="left" w:pos="540"/>
        </w:tabs>
        <w:spacing w:line="360" w:lineRule="auto"/>
        <w:ind w:left="0" w:firstLine="0"/>
        <w:rPr>
          <w:rFonts w:ascii="宋体" w:hAnsi="宋体"/>
          <w:b/>
        </w:rPr>
      </w:pPr>
      <w:bookmarkStart w:id="1" w:name="_Toc369265542"/>
      <w:bookmarkStart w:id="2" w:name="_Toc483993017"/>
      <w:r>
        <w:rPr>
          <w:rFonts w:hint="eastAsia" w:ascii="宋体" w:hAnsi="宋体"/>
          <w:b/>
        </w:rPr>
        <w:t>项目概述</w:t>
      </w:r>
      <w:bookmarkEnd w:id="1"/>
      <w:bookmarkEnd w:id="2"/>
    </w:p>
    <w:p w14:paraId="3FE0B032">
      <w:pPr>
        <w:spacing w:line="360" w:lineRule="auto"/>
        <w:ind w:firstLine="420" w:firstLineChars="200"/>
        <w:rPr>
          <w:rFonts w:ascii="宋体" w:hAnsi="宋体" w:cstheme="minorEastAsia"/>
          <w:szCs w:val="21"/>
        </w:rPr>
      </w:pPr>
      <w:bookmarkStart w:id="3" w:name="_Toc3785514"/>
      <w:bookmarkStart w:id="4" w:name="_Toc112337264"/>
      <w:bookmarkStart w:id="5" w:name="_Toc138644185"/>
      <w:bookmarkStart w:id="6" w:name="_Toc3785676"/>
      <w:bookmarkStart w:id="7" w:name="_Toc60130055"/>
      <w:bookmarkStart w:id="8" w:name="_Toc53335580"/>
      <w:bookmarkStart w:id="9" w:name="_Toc87857946"/>
      <w:bookmarkStart w:id="10" w:name="_Toc53570178"/>
      <w:bookmarkStart w:id="11" w:name="_Toc40761350"/>
      <w:bookmarkStart w:id="12" w:name="_Toc100490353"/>
      <w:bookmarkStart w:id="13" w:name="_Toc35941130"/>
      <w:bookmarkStart w:id="14" w:name="_Toc138481788"/>
      <w:bookmarkStart w:id="15" w:name="_Toc36123676"/>
      <w:bookmarkStart w:id="16" w:name="_Toc100490270"/>
      <w:bookmarkStart w:id="17" w:name="_Toc3785462"/>
      <w:bookmarkStart w:id="18" w:name="_Toc112318560"/>
      <w:bookmarkStart w:id="19" w:name="_Toc93397583"/>
      <w:bookmarkStart w:id="20" w:name="_Toc93397985"/>
      <w:bookmarkStart w:id="21" w:name="_Toc3785638"/>
      <w:bookmarkStart w:id="22" w:name="_Toc101106482"/>
      <w:bookmarkStart w:id="23" w:name="_Toc54513054"/>
      <w:bookmarkStart w:id="24" w:name="_Toc36146209"/>
      <w:r>
        <w:rPr>
          <w:rFonts w:hint="eastAsia" w:ascii="宋体" w:hAnsi="宋体" w:cstheme="minorEastAsia"/>
          <w:szCs w:val="21"/>
        </w:rPr>
        <w:t>采购单位公共卫生检验管理系统自2013年建成并投入使用以来，经过持续的技术革新与升级，于2023年完成国产化改造。该系统与广东省新冠病毒核酸检测信息系统、广东省统一电子印章平台进行对接，实现对各类样品检验过程的信息化管理，包括样品预受理、受理、确认、检验结果录入、报告签署打印、查询统计以及生成电子签章报告等功能。该系统长期以来在全市卫生监测检验管理工作中扮演着至关重要的角色，为采购单位检测能力的提升提供了坚实的信息技术支撑。</w:t>
      </w:r>
    </w:p>
    <w:p w14:paraId="31DF03A7">
      <w:pPr>
        <w:spacing w:line="360" w:lineRule="auto"/>
        <w:ind w:firstLine="420" w:firstLineChars="200"/>
        <w:rPr>
          <w:rFonts w:ascii="宋体" w:hAnsi="宋体" w:cstheme="minorEastAsia"/>
          <w:szCs w:val="21"/>
        </w:rPr>
      </w:pPr>
      <w:r>
        <w:rPr>
          <w:rFonts w:hint="eastAsia" w:ascii="宋体" w:hAnsi="宋体" w:cstheme="minorEastAsia"/>
          <w:szCs w:val="21"/>
        </w:rPr>
        <w:t>为保障采购单位公共卫生检验管理系统的高效、稳定和安全运行，现需对系统进行升级及提供为期12个月的运维服务，确保系统的持续稳定运行，提升数据安全性，并为采购单位未来的检测能力建设提供更为强大的信息技术保障。</w:t>
      </w:r>
    </w:p>
    <w:p w14:paraId="68052C79">
      <w:pPr>
        <w:numPr>
          <w:ilvl w:val="2"/>
          <w:numId w:val="15"/>
        </w:numPr>
        <w:tabs>
          <w:tab w:val="left" w:pos="420"/>
          <w:tab w:val="left" w:pos="540"/>
        </w:tabs>
        <w:spacing w:line="360" w:lineRule="auto"/>
        <w:ind w:left="0" w:firstLine="0"/>
        <w:rPr>
          <w:rFonts w:ascii="宋体" w:hAnsi="宋体"/>
          <w:b/>
          <w:szCs w:val="21"/>
        </w:rPr>
      </w:pPr>
      <w:bookmarkStart w:id="25" w:name="_Toc483993018"/>
      <w:bookmarkStart w:id="26" w:name="_Toc369265543"/>
      <w:r>
        <w:rPr>
          <w:rFonts w:hint="eastAsia" w:ascii="宋体" w:hAnsi="宋体"/>
          <w:b/>
          <w:szCs w:val="21"/>
        </w:rPr>
        <w:t>项目内容及要求</w:t>
      </w:r>
      <w:bookmarkEnd w:id="25"/>
      <w:bookmarkEnd w:id="26"/>
    </w:p>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1E3E4644">
      <w:pPr>
        <w:pStyle w:val="33"/>
        <w:numPr>
          <w:ilvl w:val="0"/>
          <w:numId w:val="16"/>
        </w:numPr>
        <w:tabs>
          <w:tab w:val="left" w:pos="567"/>
        </w:tabs>
        <w:spacing w:line="360" w:lineRule="auto"/>
        <w:ind w:firstLineChars="0"/>
        <w:outlineLvl w:val="2"/>
        <w:rPr>
          <w:rFonts w:ascii="宋体" w:hAnsi="宋体" w:cstheme="minorEastAsia"/>
          <w:b/>
          <w:bCs/>
          <w:kern w:val="0"/>
          <w:szCs w:val="21"/>
        </w:rPr>
      </w:pPr>
      <w:bookmarkStart w:id="27" w:name="_Toc369265544"/>
      <w:bookmarkEnd w:id="27"/>
      <w:bookmarkStart w:id="28" w:name="_Toc369265545"/>
      <w:bookmarkEnd w:id="28"/>
      <w:bookmarkStart w:id="29" w:name="_Toc40761370"/>
      <w:bookmarkStart w:id="30" w:name="_Toc53335607"/>
      <w:bookmarkStart w:id="31" w:name="_Toc3785463"/>
      <w:bookmarkStart w:id="32" w:name="_Toc3785515"/>
      <w:bookmarkStart w:id="33" w:name="_Toc3785677"/>
      <w:bookmarkStart w:id="34" w:name="_Toc35941135"/>
      <w:bookmarkStart w:id="35" w:name="_Toc3785639"/>
      <w:bookmarkStart w:id="36" w:name="_Toc112318561"/>
      <w:bookmarkStart w:id="37" w:name="_Toc87857947"/>
      <w:bookmarkStart w:id="38" w:name="_Toc36146217"/>
      <w:bookmarkStart w:id="39" w:name="_Toc138644186"/>
      <w:bookmarkStart w:id="40" w:name="_Toc93397986"/>
      <w:bookmarkStart w:id="41" w:name="_Toc100490355"/>
      <w:bookmarkStart w:id="42" w:name="_Toc54513097"/>
      <w:bookmarkStart w:id="43" w:name="_Toc60130109"/>
      <w:bookmarkStart w:id="44" w:name="_Toc53570221"/>
      <w:bookmarkStart w:id="45" w:name="_Toc100490272"/>
      <w:bookmarkStart w:id="46" w:name="_Toc112337265"/>
      <w:bookmarkStart w:id="47" w:name="_Toc36123682"/>
      <w:bookmarkStart w:id="48" w:name="_Toc101106484"/>
      <w:bookmarkStart w:id="49" w:name="_Toc53396617"/>
      <w:bookmarkStart w:id="50" w:name="_Toc93397584"/>
      <w:bookmarkStart w:id="51" w:name="_Toc138481790"/>
      <w:r>
        <w:rPr>
          <w:rFonts w:hint="eastAsia" w:ascii="宋体" w:hAnsi="宋体" w:cstheme="minorEastAsia"/>
          <w:b/>
          <w:bCs/>
          <w:kern w:val="0"/>
          <w:szCs w:val="21"/>
        </w:rPr>
        <w:t>维护对象</w:t>
      </w:r>
    </w:p>
    <w:p w14:paraId="71FA9B1D">
      <w:pPr>
        <w:tabs>
          <w:tab w:val="left" w:pos="567"/>
        </w:tabs>
        <w:spacing w:line="360" w:lineRule="auto"/>
        <w:ind w:firstLine="420" w:firstLineChars="200"/>
        <w:rPr>
          <w:rFonts w:ascii="宋体" w:hAnsi="宋体" w:cstheme="minorEastAsia"/>
          <w:b/>
          <w:bCs/>
          <w:kern w:val="0"/>
          <w:szCs w:val="21"/>
        </w:rPr>
      </w:pPr>
      <w:r>
        <w:rPr>
          <w:rFonts w:hint="eastAsia" w:ascii="宋体" w:hAnsi="宋体" w:cstheme="minorEastAsia"/>
          <w:szCs w:val="21"/>
        </w:rPr>
        <w:t>本次维护对象为东莞市疾病预防控制中心公共卫生检验管理系统。</w:t>
      </w:r>
    </w:p>
    <w:p w14:paraId="4ABA1379">
      <w:pPr>
        <w:pStyle w:val="33"/>
        <w:numPr>
          <w:ilvl w:val="0"/>
          <w:numId w:val="16"/>
        </w:numPr>
        <w:tabs>
          <w:tab w:val="left" w:pos="567"/>
        </w:tabs>
        <w:spacing w:line="360" w:lineRule="auto"/>
        <w:ind w:firstLineChars="0"/>
        <w:outlineLvl w:val="2"/>
        <w:rPr>
          <w:rFonts w:ascii="宋体" w:hAnsi="宋体" w:cstheme="minorEastAsia"/>
          <w:b/>
          <w:bCs/>
          <w:kern w:val="0"/>
          <w:szCs w:val="21"/>
        </w:rPr>
      </w:pPr>
      <w:bookmarkStart w:id="52" w:name="_Toc237427224"/>
      <w:r>
        <w:rPr>
          <w:rFonts w:hint="eastAsia" w:ascii="宋体" w:hAnsi="宋体" w:cstheme="minorEastAsia"/>
          <w:b/>
          <w:bCs/>
          <w:kern w:val="0"/>
          <w:szCs w:val="21"/>
        </w:rPr>
        <w:t>总体目标</w:t>
      </w:r>
      <w:bookmarkEnd w:id="52"/>
    </w:p>
    <w:p w14:paraId="4594E849">
      <w:pPr>
        <w:pStyle w:val="33"/>
        <w:numPr>
          <w:ilvl w:val="0"/>
          <w:numId w:val="17"/>
        </w:numPr>
        <w:spacing w:line="360" w:lineRule="auto"/>
        <w:ind w:left="0" w:firstLine="426" w:firstLineChars="0"/>
        <w:rPr>
          <w:rFonts w:ascii="宋体" w:hAnsi="宋体" w:cstheme="minorEastAsia"/>
          <w:szCs w:val="21"/>
        </w:rPr>
      </w:pPr>
      <w:r>
        <w:rPr>
          <w:rFonts w:hint="eastAsia" w:ascii="宋体" w:hAnsi="宋体" w:cstheme="minorEastAsia"/>
          <w:szCs w:val="21"/>
        </w:rPr>
        <w:t>系统优化升级：根据业务需求对系统功能进行优化和改进。</w:t>
      </w:r>
    </w:p>
    <w:p w14:paraId="6D4B74C8">
      <w:pPr>
        <w:pStyle w:val="33"/>
        <w:numPr>
          <w:ilvl w:val="0"/>
          <w:numId w:val="17"/>
        </w:numPr>
        <w:spacing w:line="360" w:lineRule="auto"/>
        <w:ind w:left="0" w:firstLine="426" w:firstLineChars="0"/>
        <w:rPr>
          <w:rFonts w:ascii="宋体" w:hAnsi="宋体" w:cstheme="minorEastAsia"/>
          <w:szCs w:val="21"/>
        </w:rPr>
      </w:pPr>
      <w:r>
        <w:rPr>
          <w:rFonts w:hint="eastAsia" w:ascii="宋体" w:hAnsi="宋体" w:cstheme="minorEastAsia"/>
          <w:color w:val="000000"/>
          <w:szCs w:val="21"/>
        </w:rPr>
        <w:t>系统日常维护：提供为期12个月的信息系统日常维护与技术支持。</w:t>
      </w:r>
    </w:p>
    <w:p w14:paraId="0F063045">
      <w:pPr>
        <w:pStyle w:val="33"/>
        <w:numPr>
          <w:ilvl w:val="0"/>
          <w:numId w:val="16"/>
        </w:numPr>
        <w:tabs>
          <w:tab w:val="left" w:pos="567"/>
        </w:tabs>
        <w:spacing w:line="360" w:lineRule="auto"/>
        <w:ind w:firstLineChars="0"/>
        <w:outlineLvl w:val="2"/>
        <w:rPr>
          <w:rFonts w:ascii="宋体" w:hAnsi="宋体" w:cstheme="minorEastAsia"/>
          <w:b/>
          <w:bCs/>
          <w:kern w:val="0"/>
          <w:szCs w:val="21"/>
        </w:rPr>
      </w:pPr>
      <w:bookmarkStart w:id="53" w:name="_Toc237427225"/>
      <w:r>
        <w:rPr>
          <w:rFonts w:hint="eastAsia" w:ascii="宋体" w:hAnsi="宋体" w:cstheme="minorEastAsia"/>
          <w:b/>
          <w:bCs/>
          <w:kern w:val="0"/>
          <w:szCs w:val="21"/>
        </w:rPr>
        <w:t>具体服务内容</w:t>
      </w:r>
      <w:bookmarkEnd w:id="53"/>
    </w:p>
    <w:p w14:paraId="56393396">
      <w:pPr>
        <w:numPr>
          <w:ilvl w:val="0"/>
          <w:numId w:val="18"/>
        </w:numPr>
        <w:adjustRightInd w:val="0"/>
        <w:snapToGrid w:val="0"/>
        <w:spacing w:line="360" w:lineRule="auto"/>
        <w:ind w:left="0" w:firstLine="420"/>
        <w:rPr>
          <w:rFonts w:ascii="宋体" w:hAnsi="宋体" w:cstheme="minorEastAsia"/>
          <w:b/>
          <w:szCs w:val="21"/>
        </w:rPr>
      </w:pPr>
      <w:r>
        <w:rPr>
          <w:rFonts w:hint="eastAsia" w:ascii="宋体" w:hAnsi="宋体" w:cstheme="minorEastAsia"/>
          <w:b/>
          <w:szCs w:val="21"/>
        </w:rPr>
        <w:t>系统优化升级</w:t>
      </w:r>
    </w:p>
    <w:p w14:paraId="536DF527">
      <w:pPr>
        <w:pStyle w:val="33"/>
        <w:numPr>
          <w:ilvl w:val="0"/>
          <w:numId w:val="19"/>
        </w:numPr>
        <w:adjustRightInd w:val="0"/>
        <w:snapToGrid w:val="0"/>
        <w:spacing w:line="360" w:lineRule="auto"/>
        <w:ind w:left="0" w:firstLine="420" w:firstLineChars="0"/>
        <w:rPr>
          <w:rFonts w:ascii="宋体" w:hAnsi="宋体" w:cstheme="minorEastAsia"/>
          <w:b/>
          <w:szCs w:val="21"/>
        </w:rPr>
      </w:pPr>
      <w:r>
        <w:rPr>
          <w:rFonts w:hint="eastAsia" w:ascii="宋体" w:hAnsi="宋体" w:cstheme="minorEastAsia"/>
          <w:b/>
          <w:szCs w:val="21"/>
        </w:rPr>
        <w:t>检验报告模式升级改造</w:t>
      </w:r>
    </w:p>
    <w:p w14:paraId="10905F22">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对食品检验、食具检验、公共场所、水质检验、卫生产品、消杀监测、疾病控制、公共卫生应急事故八个子系统的检验报告编制、审核、签发及电子签章全流程升级改造。</w:t>
      </w:r>
    </w:p>
    <w:p w14:paraId="1EEAE9D5">
      <w:pPr>
        <w:numPr>
          <w:ilvl w:val="0"/>
          <w:numId w:val="20"/>
        </w:numPr>
        <w:adjustRightInd w:val="0"/>
        <w:snapToGrid w:val="0"/>
        <w:spacing w:line="360" w:lineRule="auto"/>
        <w:rPr>
          <w:rFonts w:ascii="宋体" w:hAnsi="宋体" w:cstheme="minorEastAsia"/>
          <w:b/>
          <w:szCs w:val="21"/>
        </w:rPr>
      </w:pPr>
      <w:r>
        <w:rPr>
          <w:rFonts w:hint="eastAsia" w:ascii="宋体" w:hAnsi="宋体" w:cstheme="minorEastAsia"/>
          <w:b/>
          <w:szCs w:val="21"/>
        </w:rPr>
        <w:t>报告编制</w:t>
      </w:r>
    </w:p>
    <w:p w14:paraId="4FC43E65">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报告编制页面新增报告类型勾选，可手动选择简易报告、样品报告或同时生成两种报告。其中食具检验、公共场所、消杀监测、疾病控制、公共卫生应急事故默认勾选简易报告，食品检验、水质检验、卫生产品默认勾选样品报告。</w:t>
      </w:r>
    </w:p>
    <w:p w14:paraId="18AF5399">
      <w:pPr>
        <w:numPr>
          <w:ilvl w:val="0"/>
          <w:numId w:val="20"/>
        </w:numPr>
        <w:adjustRightInd w:val="0"/>
        <w:snapToGrid w:val="0"/>
        <w:spacing w:line="360" w:lineRule="auto"/>
        <w:rPr>
          <w:rFonts w:ascii="宋体" w:hAnsi="宋体" w:cstheme="minorEastAsia"/>
          <w:b/>
          <w:szCs w:val="21"/>
        </w:rPr>
      </w:pPr>
      <w:r>
        <w:rPr>
          <w:rFonts w:hint="eastAsia" w:ascii="宋体" w:hAnsi="宋体" w:cstheme="minorEastAsia"/>
          <w:b/>
          <w:szCs w:val="21"/>
        </w:rPr>
        <w:t>报告审核、签发预览</w:t>
      </w:r>
    </w:p>
    <w:p w14:paraId="1A1C7D17">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优化预览逻辑，支持简易报告和样品报告统一预览查看。</w:t>
      </w:r>
    </w:p>
    <w:p w14:paraId="7BA55263">
      <w:pPr>
        <w:numPr>
          <w:ilvl w:val="0"/>
          <w:numId w:val="20"/>
        </w:numPr>
        <w:adjustRightInd w:val="0"/>
        <w:snapToGrid w:val="0"/>
        <w:spacing w:line="360" w:lineRule="auto"/>
        <w:rPr>
          <w:rFonts w:ascii="宋体" w:hAnsi="宋体" w:cstheme="minorEastAsia"/>
          <w:b/>
          <w:szCs w:val="21"/>
        </w:rPr>
      </w:pPr>
      <w:r>
        <w:rPr>
          <w:rFonts w:hint="eastAsia" w:ascii="宋体" w:hAnsi="宋体" w:cstheme="minorEastAsia"/>
          <w:b/>
          <w:szCs w:val="21"/>
        </w:rPr>
        <w:t>电子签章</w:t>
      </w:r>
    </w:p>
    <w:p w14:paraId="03B4D586">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完善电子签章模块功能，对生成的报告进行签章，可通过勾选或者批量选择报告类型下载签章报告。</w:t>
      </w:r>
    </w:p>
    <w:p w14:paraId="41D4D17E">
      <w:pPr>
        <w:numPr>
          <w:ilvl w:val="0"/>
          <w:numId w:val="18"/>
        </w:numPr>
        <w:adjustRightInd w:val="0"/>
        <w:snapToGrid w:val="0"/>
        <w:spacing w:line="360" w:lineRule="auto"/>
        <w:ind w:left="0" w:firstLine="420"/>
        <w:rPr>
          <w:rFonts w:ascii="宋体" w:hAnsi="宋体" w:cstheme="minorEastAsia"/>
          <w:b/>
          <w:szCs w:val="21"/>
        </w:rPr>
      </w:pPr>
      <w:r>
        <w:rPr>
          <w:rFonts w:hint="eastAsia" w:ascii="宋体" w:hAnsi="宋体" w:cstheme="minorEastAsia"/>
          <w:b/>
          <w:szCs w:val="21"/>
        </w:rPr>
        <w:t>提供系统日常运行维护与技术保障</w:t>
      </w:r>
    </w:p>
    <w:p w14:paraId="3D598586">
      <w:pPr>
        <w:pStyle w:val="2"/>
        <w:numPr>
          <w:ilvl w:val="0"/>
          <w:numId w:val="21"/>
        </w:numPr>
        <w:snapToGrid w:val="0"/>
        <w:spacing w:after="0" w:line="360" w:lineRule="auto"/>
        <w:ind w:left="0" w:firstLine="420"/>
        <w:rPr>
          <w:rFonts w:ascii="宋体" w:hAnsi="宋体" w:cstheme="minorEastAsia"/>
          <w:b/>
          <w:sz w:val="21"/>
          <w:szCs w:val="21"/>
        </w:rPr>
      </w:pPr>
      <w:r>
        <w:rPr>
          <w:rFonts w:hint="eastAsia" w:ascii="宋体" w:hAnsi="宋体" w:cstheme="minorEastAsia"/>
          <w:b/>
          <w:sz w:val="21"/>
          <w:szCs w:val="21"/>
        </w:rPr>
        <w:t>日常运行维护</w:t>
      </w:r>
    </w:p>
    <w:p w14:paraId="04B47496">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包括系统操作指导、因系统缺陷导致的各种BUG的修复、因误操作导致的数据错误维护等；根据用户需求对系统界面、数据接口、原始记录表及报告样式进行适应性调整、新增等。</w:t>
      </w:r>
    </w:p>
    <w:p w14:paraId="016B6918">
      <w:pPr>
        <w:pStyle w:val="2"/>
        <w:numPr>
          <w:ilvl w:val="0"/>
          <w:numId w:val="21"/>
        </w:numPr>
        <w:snapToGrid w:val="0"/>
        <w:spacing w:after="0" w:line="360" w:lineRule="auto"/>
        <w:ind w:left="0" w:firstLine="420"/>
        <w:rPr>
          <w:rFonts w:ascii="宋体" w:hAnsi="宋体" w:cstheme="minorEastAsia"/>
          <w:b/>
          <w:sz w:val="21"/>
          <w:szCs w:val="21"/>
        </w:rPr>
      </w:pPr>
      <w:r>
        <w:rPr>
          <w:rFonts w:hint="eastAsia" w:ascii="宋体" w:hAnsi="宋体" w:cstheme="minorEastAsia"/>
          <w:b/>
          <w:sz w:val="21"/>
          <w:szCs w:val="21"/>
        </w:rPr>
        <w:t>数据库维护</w:t>
      </w:r>
    </w:p>
    <w:p w14:paraId="48576F7E">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保障系统相关数据库的正常运行；组织监控数据库的关键参数，及时排除故障；对数据库性能进行优化；从应用系统角度来优化数据库，如建立并优化索引、优化存储过程、数据库表拆分等，提高应用系统运行速度。对于数据库参数方面的优化工作，提出建议和要求，并辅助数据库厂商或运维商进行数据库性能优化。</w:t>
      </w:r>
    </w:p>
    <w:p w14:paraId="7F505D71">
      <w:pPr>
        <w:pStyle w:val="2"/>
        <w:numPr>
          <w:ilvl w:val="0"/>
          <w:numId w:val="21"/>
        </w:numPr>
        <w:snapToGrid w:val="0"/>
        <w:spacing w:after="0" w:line="360" w:lineRule="auto"/>
        <w:ind w:left="0" w:firstLine="420"/>
        <w:rPr>
          <w:rFonts w:ascii="宋体" w:hAnsi="宋体" w:cstheme="minorEastAsia"/>
          <w:b/>
          <w:sz w:val="21"/>
          <w:szCs w:val="21"/>
        </w:rPr>
      </w:pPr>
      <w:bookmarkStart w:id="54" w:name="_Toc519698827"/>
      <w:r>
        <w:rPr>
          <w:rFonts w:hint="eastAsia" w:ascii="宋体" w:hAnsi="宋体" w:cstheme="minorEastAsia"/>
          <w:b/>
          <w:sz w:val="21"/>
          <w:szCs w:val="21"/>
        </w:rPr>
        <w:t>系统运行保障</w:t>
      </w:r>
      <w:bookmarkEnd w:id="54"/>
    </w:p>
    <w:p w14:paraId="7480C5F2">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记录平台运行日志；对平台日常运行日志进行记录，定期分析；定期监控系统、网络、数据库和各应用系统的使用资源及性能，出现异常情况应立即与采购人相关技术人员进行沟通，及时给出合理的解决方案，并负责实施调整或修复，协助采购人进行日常安全检查等工作。</w:t>
      </w:r>
    </w:p>
    <w:p w14:paraId="2A8CD815">
      <w:pPr>
        <w:pStyle w:val="2"/>
        <w:numPr>
          <w:ilvl w:val="0"/>
          <w:numId w:val="21"/>
        </w:numPr>
        <w:snapToGrid w:val="0"/>
        <w:spacing w:after="0" w:line="360" w:lineRule="auto"/>
        <w:ind w:left="0" w:firstLine="420"/>
        <w:rPr>
          <w:rFonts w:ascii="宋体" w:hAnsi="宋体" w:cstheme="minorEastAsia"/>
          <w:b/>
          <w:sz w:val="21"/>
          <w:szCs w:val="21"/>
        </w:rPr>
      </w:pPr>
      <w:bookmarkStart w:id="55" w:name="_Toc519698828"/>
      <w:r>
        <w:rPr>
          <w:rFonts w:hint="eastAsia" w:ascii="宋体" w:hAnsi="宋体" w:cstheme="minorEastAsia"/>
          <w:b/>
          <w:sz w:val="21"/>
          <w:szCs w:val="21"/>
        </w:rPr>
        <w:t>故障排除服务</w:t>
      </w:r>
      <w:bookmarkEnd w:id="55"/>
    </w:p>
    <w:p w14:paraId="4AE48E26">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在维护期内，按不同的维护类型，提供现场技术支持、远程技术支持、电话技术支持服务、诊断问题及解决方案，并完成故障修复。提供周一至周日7×24小时的技术支持，尽快恢复系统正常运行。建立用户问题修改追踪登记制度，根据用户反馈的问题做好登记，并制定出解决方案，合理安排问题整改计划及完成时间。</w:t>
      </w:r>
    </w:p>
    <w:p w14:paraId="5DE2F92C">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服务商原则上需独立完成故障解决，若自身技术力量确实无法解决故障，需第三方支持时，必须先经用户批准，再由服务商负责安排，一切费用由服务商承担。</w:t>
      </w:r>
    </w:p>
    <w:p w14:paraId="30E116C0">
      <w:pPr>
        <w:pStyle w:val="2"/>
        <w:numPr>
          <w:ilvl w:val="0"/>
          <w:numId w:val="21"/>
        </w:numPr>
        <w:snapToGrid w:val="0"/>
        <w:spacing w:after="0" w:line="360" w:lineRule="auto"/>
        <w:ind w:left="0" w:firstLine="420"/>
        <w:rPr>
          <w:rFonts w:ascii="宋体" w:hAnsi="宋体" w:cstheme="minorEastAsia"/>
          <w:b/>
          <w:sz w:val="21"/>
          <w:szCs w:val="21"/>
        </w:rPr>
      </w:pPr>
      <w:bookmarkStart w:id="56" w:name="_Toc519698829"/>
      <w:r>
        <w:rPr>
          <w:rFonts w:hint="eastAsia" w:ascii="宋体" w:hAnsi="宋体" w:cstheme="minorEastAsia"/>
          <w:b/>
          <w:sz w:val="21"/>
          <w:szCs w:val="21"/>
        </w:rPr>
        <w:t>巡检服务</w:t>
      </w:r>
      <w:bookmarkEnd w:id="56"/>
    </w:p>
    <w:p w14:paraId="278F59EA">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提供每季度一次的系统巡检，并提交巡检记录报告。通过定期巡检及时发现服务器及系统上的有关性能、安全、管理方面的问题，及时提供解决方案并协助采购人相关技术人员解决，并形成书面记录报告。</w:t>
      </w:r>
    </w:p>
    <w:p w14:paraId="29E4E465">
      <w:pPr>
        <w:pStyle w:val="2"/>
        <w:numPr>
          <w:ilvl w:val="0"/>
          <w:numId w:val="21"/>
        </w:numPr>
        <w:snapToGrid w:val="0"/>
        <w:spacing w:after="0" w:line="360" w:lineRule="auto"/>
        <w:ind w:left="0" w:firstLine="420"/>
        <w:rPr>
          <w:rFonts w:ascii="宋体" w:hAnsi="宋体" w:cstheme="minorEastAsia"/>
          <w:b/>
          <w:sz w:val="21"/>
          <w:szCs w:val="21"/>
        </w:rPr>
      </w:pPr>
      <w:bookmarkStart w:id="57" w:name="_Toc519698830"/>
      <w:r>
        <w:rPr>
          <w:rFonts w:hint="eastAsia" w:ascii="宋体" w:hAnsi="宋体" w:cstheme="minorEastAsia"/>
          <w:b/>
          <w:sz w:val="21"/>
          <w:szCs w:val="21"/>
        </w:rPr>
        <w:t>预防性问题排查</w:t>
      </w:r>
      <w:bookmarkEnd w:id="57"/>
    </w:p>
    <w:p w14:paraId="0A2904AD">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以季度为周期，通过对巡检结果、故障诊断结果和服务记录趋势分析，对各类问题隐患进行分析、监控、排查和定位，减少问题发生的几率。</w:t>
      </w:r>
    </w:p>
    <w:p w14:paraId="1FAE41E4">
      <w:pPr>
        <w:pStyle w:val="2"/>
        <w:numPr>
          <w:ilvl w:val="0"/>
          <w:numId w:val="21"/>
        </w:numPr>
        <w:snapToGrid w:val="0"/>
        <w:spacing w:after="0" w:line="360" w:lineRule="auto"/>
        <w:ind w:left="0" w:firstLine="420"/>
        <w:rPr>
          <w:rFonts w:ascii="宋体" w:hAnsi="宋体" w:cstheme="minorEastAsia"/>
          <w:b/>
          <w:sz w:val="21"/>
          <w:szCs w:val="21"/>
        </w:rPr>
      </w:pPr>
      <w:bookmarkStart w:id="58" w:name="_Toc519698833"/>
      <w:r>
        <w:rPr>
          <w:rFonts w:hint="eastAsia" w:ascii="宋体" w:hAnsi="宋体" w:cstheme="minorEastAsia"/>
          <w:b/>
          <w:sz w:val="21"/>
          <w:szCs w:val="21"/>
        </w:rPr>
        <w:t>服务响应</w:t>
      </w:r>
      <w:bookmarkEnd w:id="58"/>
    </w:p>
    <w:p w14:paraId="739F0D43">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提供7×24小时电话技术支持服务，包括服务请求、远程故障诊断、技术咨询等服务。在实验室评审工作期间，提供现场或远程的技术支持服务。工作日运维响应时间应在2小时以内，非工作时间运维响应时间应在4小时以内；如果需到现场进行服务，服务商应在接到运维请求后的24个小时以内到达用户现场。</w:t>
      </w:r>
    </w:p>
    <w:p w14:paraId="24790D26">
      <w:pPr>
        <w:pStyle w:val="2"/>
        <w:numPr>
          <w:ilvl w:val="0"/>
          <w:numId w:val="21"/>
        </w:numPr>
        <w:snapToGrid w:val="0"/>
        <w:spacing w:after="0" w:line="360" w:lineRule="auto"/>
        <w:ind w:left="0" w:firstLine="420"/>
        <w:rPr>
          <w:rFonts w:ascii="宋体" w:hAnsi="宋体" w:cstheme="minorEastAsia"/>
          <w:b/>
          <w:sz w:val="21"/>
          <w:szCs w:val="21"/>
        </w:rPr>
      </w:pPr>
      <w:r>
        <w:rPr>
          <w:rFonts w:hint="eastAsia" w:ascii="宋体" w:hAnsi="宋体" w:cstheme="minorEastAsia"/>
          <w:b/>
          <w:sz w:val="21"/>
          <w:szCs w:val="21"/>
        </w:rPr>
        <w:t>培训服务</w:t>
      </w:r>
    </w:p>
    <w:p w14:paraId="1A4956E7">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如果系统进行了改动或升级，为相关部门提供系统使用培训服务，并提供相应的操作手册及课件。</w:t>
      </w:r>
    </w:p>
    <w:p w14:paraId="29F32B59">
      <w:pPr>
        <w:pStyle w:val="33"/>
        <w:numPr>
          <w:ilvl w:val="0"/>
          <w:numId w:val="16"/>
        </w:numPr>
        <w:tabs>
          <w:tab w:val="left" w:pos="567"/>
        </w:tabs>
        <w:adjustRightInd w:val="0"/>
        <w:snapToGrid w:val="0"/>
        <w:spacing w:line="360" w:lineRule="auto"/>
        <w:ind w:firstLineChars="0"/>
        <w:outlineLvl w:val="2"/>
        <w:rPr>
          <w:rFonts w:ascii="宋体" w:hAnsi="宋体" w:cstheme="minorEastAsia"/>
          <w:b/>
          <w:bCs/>
          <w:kern w:val="0"/>
          <w:szCs w:val="21"/>
        </w:rPr>
      </w:pPr>
      <w:bookmarkStart w:id="59" w:name="_Toc483993022"/>
      <w:bookmarkStart w:id="60" w:name="_Toc483642322"/>
      <w:bookmarkStart w:id="61" w:name="_Toc237427228"/>
      <w:bookmarkStart w:id="62" w:name="_Toc369265549"/>
      <w:r>
        <w:rPr>
          <w:rFonts w:hint="eastAsia" w:ascii="宋体" w:hAnsi="宋体" w:cstheme="minorEastAsia"/>
          <w:b/>
          <w:bCs/>
          <w:kern w:val="0"/>
          <w:szCs w:val="21"/>
        </w:rPr>
        <w:t>安全服务要求</w:t>
      </w:r>
      <w:bookmarkEnd w:id="59"/>
      <w:bookmarkEnd w:id="60"/>
      <w:bookmarkEnd w:id="61"/>
      <w:bookmarkEnd w:id="62"/>
    </w:p>
    <w:p w14:paraId="72105D59">
      <w:pPr>
        <w:adjustRightInd w:val="0"/>
        <w:snapToGrid w:val="0"/>
        <w:spacing w:line="360" w:lineRule="auto"/>
        <w:ind w:firstLine="420" w:firstLineChars="200"/>
        <w:rPr>
          <w:rFonts w:ascii="宋体" w:hAnsi="宋体" w:cstheme="minorEastAsia"/>
          <w:szCs w:val="21"/>
        </w:rPr>
      </w:pPr>
      <w:r>
        <w:rPr>
          <w:rFonts w:hint="eastAsia" w:ascii="宋体" w:hAnsi="宋体" w:cstheme="minorEastAsia"/>
          <w:szCs w:val="21"/>
        </w:rPr>
        <w:t>服务商必须按照国家、省、市以及采购单位的有关安全管理规定进行服务。在进行系统开发、数据库维护等操作前，须先提交实施方案经采购人审核通过后才能执行。在整个服务过程中，服务商要服从采购人的管理，严格遵守保密规定，不得向无关人员透露本项目相关的用户信息。服务商须与采购人签署保密协议，并严格遵照协议执行。未经用户方授权代表书面许可，服务商不向无关的其他方泄漏任何技术文件或与合同有关的数据，包括合同本身。</w:t>
      </w:r>
      <w:bookmarkStart w:id="63" w:name="_Toc237427230"/>
      <w:bookmarkStart w:id="64" w:name="_Toc230751716"/>
    </w:p>
    <w:p w14:paraId="17C5DF16">
      <w:pPr>
        <w:numPr>
          <w:ilvl w:val="0"/>
          <w:numId w:val="16"/>
        </w:numPr>
        <w:tabs>
          <w:tab w:val="left" w:pos="567"/>
        </w:tabs>
        <w:adjustRightInd w:val="0"/>
        <w:snapToGrid w:val="0"/>
        <w:spacing w:line="360" w:lineRule="auto"/>
        <w:outlineLvl w:val="2"/>
        <w:rPr>
          <w:rFonts w:ascii="宋体" w:hAnsi="宋体" w:cstheme="minorEastAsia"/>
          <w:b/>
          <w:bCs/>
          <w:kern w:val="0"/>
          <w:szCs w:val="21"/>
        </w:rPr>
      </w:pPr>
      <w:bookmarkStart w:id="65" w:name="_Toc369265551"/>
      <w:bookmarkStart w:id="66" w:name="_Toc483642324"/>
      <w:bookmarkStart w:id="67" w:name="_Toc483993024"/>
      <w:r>
        <w:rPr>
          <w:rFonts w:hint="eastAsia" w:ascii="宋体" w:hAnsi="宋体" w:cstheme="minorEastAsia"/>
          <w:b/>
          <w:bCs/>
          <w:kern w:val="0"/>
          <w:szCs w:val="21"/>
        </w:rPr>
        <w:t>维护服务队伍管理制度</w:t>
      </w:r>
      <w:bookmarkEnd w:id="63"/>
      <w:bookmarkEnd w:id="64"/>
      <w:bookmarkEnd w:id="65"/>
      <w:bookmarkEnd w:id="66"/>
      <w:bookmarkEnd w:id="67"/>
    </w:p>
    <w:p w14:paraId="5E1B68FD">
      <w:pPr>
        <w:pStyle w:val="33"/>
        <w:numPr>
          <w:ilvl w:val="0"/>
          <w:numId w:val="22"/>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服务商应为本项目配置运维服务团队，团队成员具备国家人社/工信部颁发的计算机技术与软件专业技术资格证书。</w:t>
      </w:r>
    </w:p>
    <w:p w14:paraId="05C7FB31">
      <w:pPr>
        <w:pStyle w:val="33"/>
        <w:numPr>
          <w:ilvl w:val="0"/>
          <w:numId w:val="22"/>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服务商配备相应资历的工程师在规定时间内远程或到现场服务。</w:t>
      </w:r>
    </w:p>
    <w:p w14:paraId="2F8C3C12">
      <w:pPr>
        <w:pStyle w:val="33"/>
        <w:numPr>
          <w:ilvl w:val="0"/>
          <w:numId w:val="22"/>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服务商提供统一的公司服务热线号码并提供投诉电话，指定现场负责人。</w:t>
      </w:r>
    </w:p>
    <w:p w14:paraId="4330FA1E">
      <w:pPr>
        <w:pStyle w:val="33"/>
        <w:numPr>
          <w:ilvl w:val="0"/>
          <w:numId w:val="22"/>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服务人员应严格遵守有关法律法规和采购人内部规章制度，不得擅自翻阅、复制、传播所接触的资料或数据。</w:t>
      </w:r>
    </w:p>
    <w:p w14:paraId="0445EFA1">
      <w:pPr>
        <w:pStyle w:val="33"/>
        <w:numPr>
          <w:ilvl w:val="0"/>
          <w:numId w:val="22"/>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服务商不得随意更换服务人员，确需更换，须经采购人批准。</w:t>
      </w:r>
    </w:p>
    <w:p w14:paraId="654E211F">
      <w:pPr>
        <w:pStyle w:val="33"/>
        <w:numPr>
          <w:ilvl w:val="0"/>
          <w:numId w:val="22"/>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服务商和开发人员应与采购人签署保密协议书，服务单位负责约束有关员工的保密工作。</w:t>
      </w:r>
    </w:p>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14:paraId="1F537614">
      <w:pPr>
        <w:numPr>
          <w:ilvl w:val="2"/>
          <w:numId w:val="15"/>
        </w:numPr>
        <w:tabs>
          <w:tab w:val="left" w:pos="420"/>
          <w:tab w:val="left" w:pos="540"/>
        </w:tabs>
        <w:spacing w:line="360" w:lineRule="auto"/>
        <w:ind w:left="0" w:firstLine="0"/>
        <w:rPr>
          <w:rFonts w:ascii="宋体" w:hAnsi="宋体"/>
          <w:b/>
          <w:szCs w:val="21"/>
        </w:rPr>
      </w:pPr>
      <w:bookmarkStart w:id="68" w:name="_Toc369265554"/>
      <w:bookmarkStart w:id="69" w:name="_Toc483993027"/>
      <w:r>
        <w:rPr>
          <w:rFonts w:hint="eastAsia" w:ascii="宋体" w:hAnsi="宋体"/>
          <w:b/>
          <w:szCs w:val="21"/>
        </w:rPr>
        <w:t>质量保证及服务时间</w:t>
      </w:r>
      <w:bookmarkEnd w:id="68"/>
      <w:bookmarkEnd w:id="69"/>
    </w:p>
    <w:p w14:paraId="36460B98">
      <w:pPr>
        <w:pStyle w:val="33"/>
        <w:widowControl/>
        <w:numPr>
          <w:ilvl w:val="0"/>
          <w:numId w:val="23"/>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有关维护服务必须符合采购人要求或行业标准。</w:t>
      </w:r>
    </w:p>
    <w:p w14:paraId="237CFB90">
      <w:pPr>
        <w:pStyle w:val="33"/>
        <w:widowControl/>
        <w:numPr>
          <w:ilvl w:val="0"/>
          <w:numId w:val="23"/>
        </w:numPr>
        <w:adjustRightInd w:val="0"/>
        <w:snapToGrid w:val="0"/>
        <w:spacing w:line="360" w:lineRule="auto"/>
        <w:ind w:firstLineChars="0"/>
        <w:rPr>
          <w:rFonts w:ascii="宋体" w:hAnsi="宋体" w:cstheme="minorEastAsia"/>
          <w:szCs w:val="21"/>
        </w:rPr>
      </w:pPr>
      <w:r>
        <w:rPr>
          <w:rFonts w:hint="eastAsia" w:ascii="宋体" w:hAnsi="宋体" w:cstheme="minorEastAsia"/>
          <w:szCs w:val="21"/>
        </w:rPr>
        <w:t>本项目的维护服务周期为12个月，服务时间从2026年10月1日起。</w:t>
      </w:r>
    </w:p>
    <w:p w14:paraId="1D38C474">
      <w:pPr>
        <w:numPr>
          <w:ilvl w:val="2"/>
          <w:numId w:val="15"/>
        </w:numPr>
        <w:tabs>
          <w:tab w:val="left" w:pos="420"/>
          <w:tab w:val="left" w:pos="540"/>
        </w:tabs>
        <w:spacing w:line="360" w:lineRule="auto"/>
        <w:ind w:left="0" w:firstLine="0"/>
        <w:rPr>
          <w:rFonts w:ascii="宋体" w:hAnsi="宋体"/>
          <w:b/>
          <w:szCs w:val="21"/>
        </w:rPr>
      </w:pPr>
      <w:bookmarkStart w:id="70" w:name="_Toc483993028"/>
      <w:bookmarkStart w:id="71" w:name="_Toc369265555"/>
      <w:r>
        <w:rPr>
          <w:rFonts w:hint="eastAsia" w:ascii="宋体" w:hAnsi="宋体"/>
          <w:b/>
          <w:szCs w:val="21"/>
        </w:rPr>
        <w:t>项目成果及用户资料管理</w:t>
      </w:r>
      <w:bookmarkEnd w:id="70"/>
      <w:bookmarkEnd w:id="71"/>
    </w:p>
    <w:p w14:paraId="594E3EEA">
      <w:pPr>
        <w:adjustRightInd w:val="0"/>
        <w:spacing w:line="360" w:lineRule="auto"/>
        <w:ind w:firstLine="420" w:firstLineChars="200"/>
        <w:rPr>
          <w:rFonts w:ascii="宋体" w:hAnsi="宋体" w:cstheme="minorEastAsia"/>
          <w:szCs w:val="21"/>
        </w:rPr>
      </w:pPr>
      <w:r>
        <w:rPr>
          <w:rFonts w:hint="eastAsia" w:ascii="宋体" w:hAnsi="宋体" w:cstheme="minorEastAsia"/>
          <w:szCs w:val="21"/>
        </w:rPr>
        <w:t>服务商应当为采购人提供项目开发维护文档等技术资料。在发生系统参数配置变更、性能改进、报表修改以及该系统版本升级或功能扩展时，应主动及时向用户提供相关文档，包括源代码。</w:t>
      </w:r>
    </w:p>
    <w:p w14:paraId="4A5A3F32">
      <w:pPr>
        <w:numPr>
          <w:ilvl w:val="2"/>
          <w:numId w:val="15"/>
        </w:numPr>
        <w:tabs>
          <w:tab w:val="left" w:pos="420"/>
          <w:tab w:val="left" w:pos="540"/>
        </w:tabs>
        <w:spacing w:line="360" w:lineRule="auto"/>
        <w:ind w:left="0" w:firstLine="0"/>
        <w:rPr>
          <w:rFonts w:ascii="宋体" w:hAnsi="宋体"/>
          <w:b/>
          <w:szCs w:val="21"/>
        </w:rPr>
      </w:pPr>
      <w:bookmarkStart w:id="72" w:name="_Toc483993029"/>
      <w:r>
        <w:rPr>
          <w:rFonts w:hint="eastAsia" w:ascii="宋体" w:hAnsi="宋体"/>
          <w:b/>
          <w:szCs w:val="21"/>
        </w:rPr>
        <w:t>经费预算及付款方式</w:t>
      </w:r>
      <w:bookmarkEnd w:id="72"/>
    </w:p>
    <w:p w14:paraId="519668A5">
      <w:pPr>
        <w:adjustRightInd w:val="0"/>
        <w:spacing w:line="360" w:lineRule="auto"/>
        <w:ind w:firstLine="420" w:firstLineChars="200"/>
        <w:rPr>
          <w:rFonts w:ascii="宋体" w:hAnsi="宋体" w:cstheme="minorEastAsia"/>
          <w:color w:val="000000"/>
          <w:szCs w:val="21"/>
          <w:shd w:val="clear" w:color="auto" w:fill="FFFFFF"/>
        </w:rPr>
      </w:pPr>
      <w:r>
        <w:rPr>
          <w:rFonts w:hint="eastAsia" w:ascii="宋体" w:hAnsi="宋体" w:cstheme="minorEastAsia"/>
          <w:szCs w:val="21"/>
        </w:rPr>
        <w:t>项目预算金额15万元</w:t>
      </w:r>
      <w:r>
        <w:rPr>
          <w:rFonts w:hint="eastAsia" w:ascii="宋体" w:hAnsi="宋体" w:cstheme="minorEastAsia"/>
          <w:color w:val="000000"/>
          <w:szCs w:val="21"/>
          <w:shd w:val="clear" w:color="auto" w:fill="FFFFFF"/>
        </w:rPr>
        <w:t>。</w:t>
      </w:r>
    </w:p>
    <w:p w14:paraId="33C94CE6">
      <w:pPr>
        <w:pStyle w:val="9"/>
        <w:tabs>
          <w:tab w:val="left" w:pos="540"/>
        </w:tabs>
        <w:adjustRightInd w:val="0"/>
        <w:snapToGrid w:val="0"/>
        <w:spacing w:line="360" w:lineRule="auto"/>
        <w:ind w:firstLine="420" w:firstLineChars="200"/>
        <w:rPr>
          <w:rFonts w:ascii="宋体" w:hAnsi="宋体" w:cstheme="minorEastAsia"/>
          <w:sz w:val="21"/>
        </w:rPr>
      </w:pPr>
      <w:r>
        <w:rPr>
          <w:rFonts w:hint="eastAsia" w:ascii="宋体" w:hAnsi="宋体" w:cstheme="minorEastAsia"/>
          <w:color w:val="000000"/>
          <w:sz w:val="21"/>
        </w:rPr>
        <w:t>合同签订后10个工作日内，采购人凭发票向服务商支付合同总金额的20%；维护期满6个月，采购人凭发票向服务商支付至合同总金额的90%；维护期满并验收合格，服务商向采购人提供维护报告、巡检报告及等额合法有效发票，并经采购人验收合格后10个工作日内，采购人凭发票向服务商支付至合同总金额的100%，付款时间为采购人向政府财政支付部门提出支付申请的时间（不含政府财</w:t>
      </w:r>
      <w:r>
        <w:rPr>
          <w:rFonts w:hint="eastAsia" w:ascii="宋体" w:hAnsi="宋体" w:cstheme="minorEastAsia"/>
          <w:sz w:val="21"/>
        </w:rPr>
        <w:t>政支付部门审批支付的时间）。</w:t>
      </w:r>
    </w:p>
    <w:p w14:paraId="5E35E040">
      <w:pPr>
        <w:numPr>
          <w:ilvl w:val="2"/>
          <w:numId w:val="15"/>
        </w:numPr>
        <w:tabs>
          <w:tab w:val="left" w:pos="540"/>
        </w:tabs>
        <w:spacing w:line="360" w:lineRule="auto"/>
        <w:ind w:left="0" w:firstLine="0"/>
        <w:rPr>
          <w:rFonts w:ascii="宋体" w:hAnsi="宋体" w:cs="宋体"/>
          <w:bCs/>
          <w:szCs w:val="21"/>
        </w:rPr>
      </w:pPr>
      <w:r>
        <w:rPr>
          <w:rFonts w:hint="eastAsia" w:ascii="宋体" w:hAnsi="宋体"/>
          <w:b/>
          <w:szCs w:val="21"/>
        </w:rPr>
        <w:t>评分</w:t>
      </w:r>
      <w:r>
        <w:rPr>
          <w:rFonts w:hint="eastAsia" w:ascii="宋体" w:hAnsi="宋体" w:cs="仿宋"/>
          <w:b/>
          <w:bCs/>
          <w:color w:val="000000"/>
          <w:szCs w:val="21"/>
        </w:rPr>
        <w:t>标准：</w:t>
      </w:r>
    </w:p>
    <w:p w14:paraId="1133AF2B">
      <w:pPr>
        <w:tabs>
          <w:tab w:val="left" w:pos="540"/>
        </w:tabs>
        <w:spacing w:line="360" w:lineRule="auto"/>
        <w:rPr>
          <w:rFonts w:ascii="宋体" w:hAnsi="宋体" w:cs="宋体"/>
          <w:bCs/>
          <w:szCs w:val="21"/>
        </w:rPr>
      </w:pPr>
      <w:r>
        <w:rPr>
          <w:rFonts w:hint="eastAsia" w:ascii="宋体" w:hAnsi="宋体"/>
          <w:b/>
          <w:bCs/>
          <w:color w:val="000000"/>
          <w:szCs w:val="21"/>
        </w:rPr>
        <w:t>本次采用综合评分法。评审以文件规定的条件为依据。评分比重构成如下：</w:t>
      </w:r>
    </w:p>
    <w:tbl>
      <w:tblPr>
        <w:tblStyle w:val="17"/>
        <w:tblW w:w="511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1874"/>
        <w:gridCol w:w="2154"/>
        <w:gridCol w:w="2315"/>
        <w:gridCol w:w="2176"/>
      </w:tblGrid>
      <w:tr w14:paraId="178AB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100" w:type="pct"/>
            <w:vAlign w:val="center"/>
          </w:tcPr>
          <w:p w14:paraId="5091F9A4">
            <w:pPr>
              <w:spacing w:line="360" w:lineRule="auto"/>
              <w:jc w:val="center"/>
              <w:rPr>
                <w:rFonts w:ascii="宋体" w:hAnsi="宋体" w:cs="宋体"/>
                <w:b/>
                <w:bCs/>
                <w:color w:val="000000"/>
                <w:szCs w:val="21"/>
              </w:rPr>
            </w:pPr>
            <w:r>
              <w:rPr>
                <w:rFonts w:hint="eastAsia" w:ascii="宋体" w:hAnsi="宋体" w:cs="宋体"/>
                <w:b/>
                <w:bCs/>
                <w:color w:val="000000"/>
                <w:szCs w:val="21"/>
              </w:rPr>
              <w:t>评分项目</w:t>
            </w:r>
          </w:p>
        </w:tc>
        <w:tc>
          <w:tcPr>
            <w:tcW w:w="1264" w:type="pct"/>
            <w:vAlign w:val="center"/>
          </w:tcPr>
          <w:p w14:paraId="3FA9044C">
            <w:pPr>
              <w:spacing w:line="360" w:lineRule="auto"/>
              <w:jc w:val="center"/>
              <w:rPr>
                <w:rFonts w:ascii="宋体" w:hAnsi="宋体" w:cs="宋体"/>
                <w:b/>
                <w:bCs/>
                <w:color w:val="000000"/>
                <w:szCs w:val="21"/>
              </w:rPr>
            </w:pPr>
            <w:r>
              <w:rPr>
                <w:rFonts w:hint="eastAsia" w:ascii="宋体" w:hAnsi="宋体" w:cs="宋体"/>
                <w:b/>
                <w:bCs/>
              </w:rPr>
              <w:t>技术部分</w:t>
            </w:r>
          </w:p>
        </w:tc>
        <w:tc>
          <w:tcPr>
            <w:tcW w:w="1359" w:type="pct"/>
            <w:vAlign w:val="center"/>
          </w:tcPr>
          <w:p w14:paraId="2E00D332">
            <w:pPr>
              <w:spacing w:line="360" w:lineRule="auto"/>
              <w:jc w:val="center"/>
              <w:rPr>
                <w:rFonts w:ascii="宋体" w:hAnsi="宋体" w:cs="宋体"/>
                <w:b/>
                <w:bCs/>
                <w:color w:val="000000"/>
                <w:szCs w:val="21"/>
              </w:rPr>
            </w:pPr>
            <w:r>
              <w:rPr>
                <w:rFonts w:hint="eastAsia" w:ascii="宋体" w:hAnsi="宋体" w:cs="宋体"/>
                <w:b/>
                <w:bCs/>
              </w:rPr>
              <w:t>商务部分</w:t>
            </w:r>
          </w:p>
        </w:tc>
        <w:tc>
          <w:tcPr>
            <w:tcW w:w="1277" w:type="pct"/>
            <w:vAlign w:val="center"/>
          </w:tcPr>
          <w:p w14:paraId="3B2F3439">
            <w:pPr>
              <w:spacing w:line="360" w:lineRule="auto"/>
              <w:jc w:val="center"/>
              <w:rPr>
                <w:rFonts w:ascii="宋体" w:hAnsi="宋体" w:cs="宋体"/>
                <w:b/>
                <w:bCs/>
                <w:color w:val="000000"/>
                <w:szCs w:val="21"/>
              </w:rPr>
            </w:pPr>
            <w:r>
              <w:rPr>
                <w:rFonts w:hint="eastAsia" w:ascii="宋体" w:hAnsi="宋体" w:cs="宋体"/>
                <w:b/>
                <w:bCs/>
              </w:rPr>
              <w:t>价格部分</w:t>
            </w:r>
          </w:p>
        </w:tc>
      </w:tr>
      <w:tr w14:paraId="409DF2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1100" w:type="pct"/>
            <w:vAlign w:val="center"/>
          </w:tcPr>
          <w:p w14:paraId="24FE214E">
            <w:pPr>
              <w:spacing w:line="360" w:lineRule="auto"/>
              <w:jc w:val="center"/>
              <w:rPr>
                <w:rFonts w:ascii="宋体" w:hAnsi="宋体" w:cs="宋体"/>
                <w:color w:val="000000"/>
                <w:szCs w:val="21"/>
              </w:rPr>
            </w:pPr>
            <w:r>
              <w:rPr>
                <w:rFonts w:hint="eastAsia" w:ascii="宋体" w:hAnsi="宋体" w:cs="宋体"/>
                <w:color w:val="000000"/>
                <w:szCs w:val="21"/>
              </w:rPr>
              <w:t>分值</w:t>
            </w:r>
          </w:p>
        </w:tc>
        <w:tc>
          <w:tcPr>
            <w:tcW w:w="1264" w:type="pct"/>
            <w:vAlign w:val="center"/>
          </w:tcPr>
          <w:p w14:paraId="0DC7F4B8">
            <w:pPr>
              <w:spacing w:line="360" w:lineRule="auto"/>
              <w:jc w:val="center"/>
              <w:rPr>
                <w:rFonts w:ascii="宋体" w:hAnsi="宋体" w:cs="宋体"/>
                <w:color w:val="000000"/>
                <w:szCs w:val="21"/>
              </w:rPr>
            </w:pPr>
            <w:r>
              <w:rPr>
                <w:rFonts w:hint="eastAsia" w:ascii="宋体" w:hAnsi="宋体" w:cs="宋体"/>
              </w:rPr>
              <w:t>55分</w:t>
            </w:r>
          </w:p>
        </w:tc>
        <w:tc>
          <w:tcPr>
            <w:tcW w:w="1359" w:type="pct"/>
            <w:vAlign w:val="center"/>
          </w:tcPr>
          <w:p w14:paraId="0C3E88EB">
            <w:pPr>
              <w:spacing w:line="360" w:lineRule="auto"/>
              <w:jc w:val="center"/>
              <w:rPr>
                <w:rFonts w:ascii="宋体" w:hAnsi="宋体" w:cs="宋体"/>
                <w:color w:val="000000"/>
                <w:szCs w:val="21"/>
              </w:rPr>
            </w:pPr>
            <w:r>
              <w:rPr>
                <w:rFonts w:hint="eastAsia" w:ascii="宋体" w:hAnsi="宋体" w:cs="宋体"/>
              </w:rPr>
              <w:t>35分</w:t>
            </w:r>
          </w:p>
        </w:tc>
        <w:tc>
          <w:tcPr>
            <w:tcW w:w="1277" w:type="pct"/>
            <w:vAlign w:val="center"/>
          </w:tcPr>
          <w:p w14:paraId="4EADAB8D">
            <w:pPr>
              <w:spacing w:line="360" w:lineRule="auto"/>
              <w:jc w:val="center"/>
              <w:rPr>
                <w:rFonts w:ascii="宋体" w:hAnsi="宋体" w:cs="宋体"/>
                <w:color w:val="000000"/>
                <w:szCs w:val="21"/>
              </w:rPr>
            </w:pPr>
            <w:r>
              <w:rPr>
                <w:rFonts w:hint="eastAsia" w:ascii="宋体" w:hAnsi="宋体" w:cs="宋体"/>
              </w:rPr>
              <w:t>10分</w:t>
            </w:r>
          </w:p>
        </w:tc>
      </w:tr>
    </w:tbl>
    <w:p w14:paraId="15436F1A">
      <w:pPr>
        <w:pStyle w:val="6"/>
        <w:ind w:firstLine="0" w:firstLineChars="0"/>
      </w:pPr>
    </w:p>
    <w:tbl>
      <w:tblPr>
        <w:tblStyle w:val="17"/>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415"/>
        <w:gridCol w:w="706"/>
        <w:gridCol w:w="5728"/>
      </w:tblGrid>
      <w:tr w14:paraId="41A03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17D964CF">
            <w:pPr>
              <w:widowControl/>
              <w:adjustRightInd w:val="0"/>
              <w:snapToGrid w:val="0"/>
              <w:jc w:val="center"/>
              <w:rPr>
                <w:rFonts w:ascii="宋体" w:hAnsi="宋体" w:cs="宋体"/>
                <w:b/>
                <w:bCs/>
                <w:szCs w:val="21"/>
              </w:rPr>
            </w:pPr>
            <w:r>
              <w:rPr>
                <w:rFonts w:hint="eastAsia" w:ascii="宋体" w:hAnsi="宋体" w:cs="宋体"/>
                <w:b/>
                <w:bCs/>
                <w:szCs w:val="21"/>
              </w:rPr>
              <w:t>序号</w:t>
            </w:r>
          </w:p>
        </w:tc>
        <w:tc>
          <w:tcPr>
            <w:tcW w:w="830" w:type="pct"/>
            <w:vAlign w:val="center"/>
          </w:tcPr>
          <w:p w14:paraId="218FD5B1">
            <w:pPr>
              <w:widowControl/>
              <w:adjustRightInd w:val="0"/>
              <w:snapToGrid w:val="0"/>
              <w:jc w:val="center"/>
              <w:rPr>
                <w:rFonts w:ascii="宋体" w:hAnsi="宋体" w:cs="宋体"/>
                <w:b/>
                <w:bCs/>
                <w:szCs w:val="21"/>
              </w:rPr>
            </w:pPr>
            <w:r>
              <w:rPr>
                <w:rFonts w:hint="eastAsia" w:ascii="宋体" w:hAnsi="宋体" w:cs="宋体"/>
                <w:b/>
                <w:bCs/>
                <w:szCs w:val="21"/>
              </w:rPr>
              <w:t>评分内容</w:t>
            </w:r>
          </w:p>
        </w:tc>
        <w:tc>
          <w:tcPr>
            <w:tcW w:w="414" w:type="pct"/>
            <w:vAlign w:val="center"/>
          </w:tcPr>
          <w:p w14:paraId="4594D9D3">
            <w:pPr>
              <w:widowControl/>
              <w:adjustRightInd w:val="0"/>
              <w:snapToGrid w:val="0"/>
              <w:jc w:val="center"/>
              <w:rPr>
                <w:rFonts w:ascii="宋体" w:hAnsi="宋体" w:cs="宋体"/>
                <w:b/>
                <w:bCs/>
                <w:szCs w:val="21"/>
              </w:rPr>
            </w:pPr>
            <w:r>
              <w:rPr>
                <w:rFonts w:hint="eastAsia" w:ascii="宋体" w:hAnsi="宋体" w:cs="宋体"/>
                <w:b/>
                <w:bCs/>
                <w:szCs w:val="21"/>
              </w:rPr>
              <w:t>分数</w:t>
            </w:r>
          </w:p>
        </w:tc>
        <w:tc>
          <w:tcPr>
            <w:tcW w:w="3361" w:type="pct"/>
            <w:vAlign w:val="center"/>
          </w:tcPr>
          <w:p w14:paraId="344B881D">
            <w:pPr>
              <w:jc w:val="center"/>
              <w:rPr>
                <w:rFonts w:ascii="宋体" w:hAnsi="宋体" w:cs="宋体"/>
                <w:b/>
                <w:bCs/>
                <w:szCs w:val="21"/>
              </w:rPr>
            </w:pPr>
            <w:r>
              <w:rPr>
                <w:rFonts w:hint="eastAsia" w:ascii="宋体" w:hAnsi="宋体" w:cs="宋体"/>
                <w:b/>
                <w:bCs/>
                <w:szCs w:val="21"/>
              </w:rPr>
              <w:t>评分标准</w:t>
            </w:r>
          </w:p>
        </w:tc>
      </w:tr>
      <w:tr w14:paraId="49FF79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vAlign w:val="center"/>
          </w:tcPr>
          <w:p w14:paraId="5F69E9CC">
            <w:pPr>
              <w:jc w:val="center"/>
              <w:rPr>
                <w:rFonts w:ascii="宋体" w:hAnsi="宋体" w:cs="宋体"/>
                <w:b/>
                <w:bCs/>
                <w:szCs w:val="21"/>
              </w:rPr>
            </w:pPr>
            <w:r>
              <w:rPr>
                <w:rFonts w:hint="eastAsia" w:ascii="宋体" w:hAnsi="宋体" w:cs="宋体"/>
                <w:b/>
                <w:bCs/>
                <w:szCs w:val="21"/>
              </w:rPr>
              <w:t>技术部分（55分）</w:t>
            </w:r>
          </w:p>
        </w:tc>
      </w:tr>
      <w:tr w14:paraId="07BA52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61CD4CF1">
            <w:pPr>
              <w:widowControl/>
              <w:numPr>
                <w:ilvl w:val="0"/>
                <w:numId w:val="24"/>
              </w:numPr>
              <w:adjustRightInd w:val="0"/>
              <w:snapToGrid w:val="0"/>
              <w:spacing w:line="360" w:lineRule="auto"/>
              <w:ind w:left="0" w:firstLine="0"/>
              <w:jc w:val="center"/>
              <w:rPr>
                <w:rFonts w:asciiTheme="minorEastAsia" w:hAnsiTheme="minorEastAsia" w:eastAsiaTheme="minorEastAsia" w:cstheme="minorEastAsia"/>
                <w:szCs w:val="21"/>
              </w:rPr>
            </w:pPr>
          </w:p>
        </w:tc>
        <w:tc>
          <w:tcPr>
            <w:tcW w:w="830" w:type="pct"/>
            <w:vAlign w:val="center"/>
          </w:tcPr>
          <w:p w14:paraId="7B51CBC2">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系统优化升级要求响应情况</w:t>
            </w:r>
          </w:p>
        </w:tc>
        <w:tc>
          <w:tcPr>
            <w:tcW w:w="414" w:type="pct"/>
            <w:vAlign w:val="center"/>
          </w:tcPr>
          <w:p w14:paraId="10E2036A">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5分</w:t>
            </w:r>
          </w:p>
        </w:tc>
        <w:tc>
          <w:tcPr>
            <w:tcW w:w="3361" w:type="pct"/>
            <w:vAlign w:val="center"/>
          </w:tcPr>
          <w:p w14:paraId="146CF26F">
            <w:pPr>
              <w:pStyle w:val="2"/>
              <w:spacing w:after="0" w:line="360" w:lineRule="auto"/>
              <w:rPr>
                <w:rFonts w:ascii="宋体" w:hAnsi="宋体"/>
                <w:sz w:val="21"/>
                <w:szCs w:val="21"/>
              </w:rPr>
            </w:pPr>
            <w:r>
              <w:rPr>
                <w:rFonts w:ascii="宋体" w:hAnsi="宋体"/>
                <w:sz w:val="21"/>
                <w:szCs w:val="21"/>
              </w:rPr>
              <w:t>根据供应商针对</w:t>
            </w:r>
            <w:r>
              <w:rPr>
                <w:rFonts w:hint="eastAsia" w:ascii="宋体" w:hAnsi="宋体"/>
                <w:sz w:val="21"/>
                <w:szCs w:val="21"/>
              </w:rPr>
              <w:t>“《第二章 用户需求书》”中“三、项目内容及要求：（三）具体服务内容：1.系统优化升级”所有要求的响应情况进行评审：</w:t>
            </w:r>
          </w:p>
          <w:p w14:paraId="1653B4E2">
            <w:pPr>
              <w:pStyle w:val="2"/>
              <w:spacing w:after="0" w:line="360" w:lineRule="auto"/>
            </w:pPr>
            <w:r>
              <w:rPr>
                <w:rFonts w:hint="eastAsia" w:ascii="宋体" w:hAnsi="宋体"/>
                <w:sz w:val="21"/>
                <w:szCs w:val="21"/>
              </w:rPr>
              <w:t>供应商提供承诺函，承诺</w:t>
            </w:r>
            <w:r>
              <w:rPr>
                <w:rFonts w:ascii="宋体" w:hAnsi="宋体"/>
                <w:sz w:val="21"/>
                <w:szCs w:val="21"/>
              </w:rPr>
              <w:t>完全响应要求</w:t>
            </w:r>
            <w:r>
              <w:rPr>
                <w:rFonts w:hint="eastAsia" w:ascii="宋体" w:hAnsi="宋体"/>
                <w:sz w:val="21"/>
                <w:szCs w:val="21"/>
              </w:rPr>
              <w:t>，</w:t>
            </w:r>
            <w:r>
              <w:rPr>
                <w:rFonts w:ascii="宋体" w:hAnsi="宋体"/>
                <w:sz w:val="21"/>
                <w:szCs w:val="21"/>
              </w:rPr>
              <w:t>得</w:t>
            </w:r>
            <w:r>
              <w:rPr>
                <w:rFonts w:hint="eastAsia" w:ascii="宋体" w:hAnsi="宋体"/>
                <w:sz w:val="21"/>
                <w:szCs w:val="21"/>
              </w:rPr>
              <w:t>5分，不提供或承诺函内容不完整或不符合需求的，不得分。</w:t>
            </w:r>
          </w:p>
        </w:tc>
      </w:tr>
      <w:tr w14:paraId="31ABC6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619948D0">
            <w:pPr>
              <w:widowControl/>
              <w:numPr>
                <w:ilvl w:val="0"/>
                <w:numId w:val="24"/>
              </w:numPr>
              <w:adjustRightInd w:val="0"/>
              <w:snapToGrid w:val="0"/>
              <w:spacing w:line="360" w:lineRule="auto"/>
              <w:ind w:left="0" w:firstLine="0"/>
              <w:jc w:val="center"/>
              <w:rPr>
                <w:rFonts w:asciiTheme="minorEastAsia" w:hAnsiTheme="minorEastAsia" w:eastAsiaTheme="minorEastAsia" w:cstheme="minorEastAsia"/>
                <w:szCs w:val="21"/>
              </w:rPr>
            </w:pPr>
          </w:p>
        </w:tc>
        <w:tc>
          <w:tcPr>
            <w:tcW w:w="830" w:type="pct"/>
            <w:vAlign w:val="center"/>
          </w:tcPr>
          <w:p w14:paraId="2A47711D">
            <w:pPr>
              <w:spacing w:line="360" w:lineRule="auto"/>
              <w:jc w:val="center"/>
              <w:rPr>
                <w:rFonts w:asciiTheme="minorEastAsia" w:hAnsiTheme="minorEastAsia" w:eastAsiaTheme="minorEastAsia" w:cstheme="minorEastAsia"/>
                <w:szCs w:val="21"/>
              </w:rPr>
            </w:pPr>
            <w:r>
              <w:rPr>
                <w:rFonts w:hint="eastAsia" w:ascii="宋体" w:hAnsi="宋体" w:cs="宋体"/>
              </w:rPr>
              <w:t>日常运维及技术保障方案</w:t>
            </w:r>
          </w:p>
        </w:tc>
        <w:tc>
          <w:tcPr>
            <w:tcW w:w="414" w:type="pct"/>
            <w:vAlign w:val="center"/>
          </w:tcPr>
          <w:p w14:paraId="13D8FDCA">
            <w:pPr>
              <w:spacing w:line="360" w:lineRule="auto"/>
              <w:jc w:val="center"/>
              <w:rPr>
                <w:rFonts w:ascii="宋体" w:hAnsi="宋体"/>
                <w:bCs/>
                <w:szCs w:val="21"/>
              </w:rPr>
            </w:pPr>
            <w:r>
              <w:rPr>
                <w:rFonts w:hint="eastAsia" w:ascii="宋体" w:hAnsi="宋体"/>
                <w:bCs/>
                <w:szCs w:val="21"/>
              </w:rPr>
              <w:t>40分</w:t>
            </w:r>
          </w:p>
        </w:tc>
        <w:tc>
          <w:tcPr>
            <w:tcW w:w="3361" w:type="pct"/>
            <w:vAlign w:val="center"/>
          </w:tcPr>
          <w:p w14:paraId="4C820B61">
            <w:pPr>
              <w:spacing w:line="360" w:lineRule="auto"/>
              <w:jc w:val="left"/>
              <w:rPr>
                <w:rFonts w:ascii="宋体" w:hAnsi="宋体"/>
                <w:szCs w:val="21"/>
              </w:rPr>
            </w:pPr>
            <w:r>
              <w:rPr>
                <w:rFonts w:hint="eastAsia" w:ascii="宋体" w:hAnsi="宋体"/>
                <w:szCs w:val="21"/>
              </w:rPr>
              <w:t>根据供应商针对“《第二章 用户需求书》”中“三、项目内容及要求：（三）具体服务内容：2.提供系统日常运行维护与技术保障”的八项服务要求（①日常运行维护；②数据库维护；③系统运行保障；④故障排除服务；⑤巡检服务；⑥预防性问题排查；⑦服务响应；⑧培训服务）分别制定的服务</w:t>
            </w:r>
            <w:r>
              <w:rPr>
                <w:rFonts w:hint="eastAsia" w:ascii="宋体" w:hAnsi="宋体" w:cs="宋体"/>
                <w:szCs w:val="21"/>
              </w:rPr>
              <w:t>方案</w:t>
            </w:r>
            <w:r>
              <w:rPr>
                <w:rFonts w:hint="eastAsia" w:ascii="宋体" w:hAnsi="宋体"/>
                <w:szCs w:val="21"/>
              </w:rPr>
              <w:t>进行评审：</w:t>
            </w:r>
          </w:p>
          <w:p w14:paraId="7E3A6528">
            <w:pPr>
              <w:spacing w:line="360" w:lineRule="auto"/>
              <w:jc w:val="left"/>
              <w:rPr>
                <w:rFonts w:ascii="宋体" w:hAnsi="宋体"/>
                <w:szCs w:val="21"/>
              </w:rPr>
            </w:pPr>
            <w:r>
              <w:rPr>
                <w:rFonts w:hint="eastAsia" w:ascii="宋体" w:hAnsi="宋体"/>
                <w:szCs w:val="21"/>
              </w:rPr>
              <w:t xml:space="preserve">（1）方案完全符合采购需求，所提供的内容包含了对应的服务要素，涵盖了所有的细节，确保方案的完整性且具有可操作性，得5分； </w:t>
            </w:r>
            <w:r>
              <w:rPr>
                <w:rFonts w:ascii="宋体" w:hAnsi="宋体"/>
                <w:szCs w:val="21"/>
              </w:rPr>
              <w:br w:type="textWrapping"/>
            </w:r>
            <w:r>
              <w:rPr>
                <w:rFonts w:hint="eastAsia" w:ascii="宋体" w:hAnsi="宋体"/>
                <w:szCs w:val="21"/>
              </w:rPr>
              <w:t xml:space="preserve">（2）方案基本符合采购需求，所提供的内容包含了对应的服务要素，但在某些细节上有欠缺，有一定操作性，得3分； </w:t>
            </w:r>
            <w:r>
              <w:rPr>
                <w:rFonts w:ascii="宋体" w:hAnsi="宋体"/>
                <w:szCs w:val="21"/>
              </w:rPr>
              <w:br w:type="textWrapping"/>
            </w:r>
            <w:r>
              <w:rPr>
                <w:rFonts w:hint="eastAsia" w:ascii="宋体" w:hAnsi="宋体"/>
                <w:szCs w:val="21"/>
              </w:rPr>
              <w:t xml:space="preserve">（3）方案有缺陷（缺陷是指：凭空编造、内容前后不一致、前后逻辑错误、难以把握方案的具体内容和实施步骤、不完全符合采购需求），得1分； </w:t>
            </w:r>
            <w:r>
              <w:rPr>
                <w:rFonts w:ascii="宋体" w:hAnsi="宋体"/>
                <w:szCs w:val="21"/>
              </w:rPr>
              <w:br w:type="textWrapping"/>
            </w:r>
            <w:r>
              <w:rPr>
                <w:rFonts w:hint="eastAsia" w:ascii="宋体" w:hAnsi="宋体"/>
                <w:szCs w:val="21"/>
              </w:rPr>
              <w:t>（4）没有提供方案或其他，得0分。</w:t>
            </w:r>
          </w:p>
          <w:p w14:paraId="56E07359">
            <w:pPr>
              <w:spacing w:line="360" w:lineRule="auto"/>
              <w:jc w:val="left"/>
              <w:rPr>
                <w:rFonts w:ascii="宋体" w:hAnsi="宋体"/>
                <w:szCs w:val="21"/>
              </w:rPr>
            </w:pPr>
            <w:r>
              <w:rPr>
                <w:rFonts w:hint="eastAsia" w:ascii="宋体" w:hAnsi="宋体" w:cs="宋体"/>
                <w:szCs w:val="21"/>
              </w:rPr>
              <w:t>注：每项服务方案最高得5分，共8项；本项最高得40分。</w:t>
            </w:r>
          </w:p>
        </w:tc>
      </w:tr>
      <w:tr w14:paraId="4C163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6CB01AAA">
            <w:pPr>
              <w:widowControl/>
              <w:numPr>
                <w:ilvl w:val="0"/>
                <w:numId w:val="24"/>
              </w:numPr>
              <w:adjustRightInd w:val="0"/>
              <w:snapToGrid w:val="0"/>
              <w:spacing w:line="360" w:lineRule="auto"/>
              <w:ind w:left="0" w:firstLine="0"/>
              <w:jc w:val="center"/>
              <w:rPr>
                <w:rFonts w:asciiTheme="minorEastAsia" w:hAnsiTheme="minorEastAsia" w:eastAsiaTheme="minorEastAsia" w:cstheme="minorEastAsia"/>
                <w:szCs w:val="21"/>
              </w:rPr>
            </w:pPr>
          </w:p>
        </w:tc>
        <w:tc>
          <w:tcPr>
            <w:tcW w:w="830" w:type="pct"/>
            <w:vAlign w:val="center"/>
          </w:tcPr>
          <w:p w14:paraId="777F5451">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项目人员配置</w:t>
            </w:r>
          </w:p>
        </w:tc>
        <w:tc>
          <w:tcPr>
            <w:tcW w:w="414" w:type="pct"/>
            <w:vAlign w:val="center"/>
          </w:tcPr>
          <w:p w14:paraId="19F79441">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10分</w:t>
            </w:r>
          </w:p>
        </w:tc>
        <w:tc>
          <w:tcPr>
            <w:tcW w:w="3361" w:type="pct"/>
            <w:vAlign w:val="center"/>
          </w:tcPr>
          <w:p w14:paraId="1F439A8E">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1、根据供应商的项目团队设置、人员综合素质、制定的岗位职责及人员管理方案的科学性、合理性、可操作性进行综合评审；优得4分，良得3分，中得2分，差得1分。</w:t>
            </w:r>
          </w:p>
          <w:p w14:paraId="07855BBC">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2、供应商为本项目配置的项目经理（1名）具有国家人社/工信部颁发的信息系统专业类别中级及以上资格证书的，得3分，无不得分。</w:t>
            </w:r>
          </w:p>
          <w:p w14:paraId="73F72C67">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3、供应商为本项目配置的项目技术人员（不包含项目经理）具有国家人社/工信部颁发的计算机类专业中级及以上职称（资格）证书的，每个得1分，最多得3分。</w:t>
            </w:r>
          </w:p>
          <w:p w14:paraId="6DF287B7">
            <w:pPr>
              <w:pStyle w:val="41"/>
              <w:spacing w:after="0" w:line="360" w:lineRule="auto"/>
              <w:ind w:firstLine="0" w:firstLineChars="0"/>
              <w:rPr>
                <w:rFonts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sz w:val="21"/>
                <w:szCs w:val="21"/>
              </w:rPr>
              <w:t>（供应商拟投入的人员必须是供应商单位的人员，须提供人员的资格证书、近三个月任意一个月的社保证明复印件并加盖供应商公章，如依法不需要缴纳社保的，应提供相关证明材料。）</w:t>
            </w:r>
          </w:p>
        </w:tc>
      </w:tr>
      <w:tr w14:paraId="230586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vAlign w:val="center"/>
          </w:tcPr>
          <w:p w14:paraId="60A71C99">
            <w:pPr>
              <w:tabs>
                <w:tab w:val="left" w:pos="312"/>
              </w:tabs>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商务部分（35分）</w:t>
            </w:r>
          </w:p>
        </w:tc>
      </w:tr>
      <w:tr w14:paraId="0AAD81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5B8195E1">
            <w:pPr>
              <w:widowControl/>
              <w:numPr>
                <w:ilvl w:val="0"/>
                <w:numId w:val="25"/>
              </w:numPr>
              <w:adjustRightInd w:val="0"/>
              <w:snapToGrid w:val="0"/>
              <w:spacing w:line="360" w:lineRule="auto"/>
              <w:rPr>
                <w:rFonts w:asciiTheme="minorEastAsia" w:hAnsiTheme="minorEastAsia" w:eastAsiaTheme="minorEastAsia" w:cstheme="minorEastAsia"/>
                <w:szCs w:val="21"/>
              </w:rPr>
            </w:pPr>
          </w:p>
        </w:tc>
        <w:tc>
          <w:tcPr>
            <w:tcW w:w="830" w:type="pct"/>
            <w:vAlign w:val="center"/>
          </w:tcPr>
          <w:p w14:paraId="09BA253E">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企业资质</w:t>
            </w:r>
          </w:p>
        </w:tc>
        <w:tc>
          <w:tcPr>
            <w:tcW w:w="414" w:type="pct"/>
            <w:vAlign w:val="center"/>
          </w:tcPr>
          <w:p w14:paraId="244B8028">
            <w:pPr>
              <w:pStyle w:val="41"/>
              <w:spacing w:after="0" w:line="24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6分</w:t>
            </w:r>
          </w:p>
        </w:tc>
        <w:tc>
          <w:tcPr>
            <w:tcW w:w="3361" w:type="pct"/>
            <w:vAlign w:val="center"/>
          </w:tcPr>
          <w:p w14:paraId="378D35EC">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供应商具有国家认证认可监督管理部门批准设立的认证机构颁发并在有效期内的质量管理体系认证证书、环境管理体系认证证书、职业健康安全管理体系认证证书，每提供一个得2分，最高得6分。 </w:t>
            </w:r>
          </w:p>
          <w:p w14:paraId="3B10CAD2">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p>
          <w:p w14:paraId="5F3DA669">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1.供应商须在响应文件中提供上述有效证书复印件及证书信息在全国认证认可信息公共服务平台(http://cx.cnca.cn/)查询的网页截图并加盖供应商公章，以上资料不提供或提供不齐全或模糊不清无法辨认不得分。</w:t>
            </w:r>
          </w:p>
          <w:p w14:paraId="4F69BFD1">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2.新设立企业因成立时间不足三个月导致未能取得认证证书的，提供书面说明可得分，不提供不得分。</w:t>
            </w:r>
          </w:p>
        </w:tc>
      </w:tr>
      <w:tr w14:paraId="09177A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2DAF9079">
            <w:pPr>
              <w:widowControl/>
              <w:numPr>
                <w:ilvl w:val="0"/>
                <w:numId w:val="25"/>
              </w:numPr>
              <w:adjustRightInd w:val="0"/>
              <w:snapToGrid w:val="0"/>
              <w:spacing w:line="360" w:lineRule="auto"/>
              <w:rPr>
                <w:rFonts w:asciiTheme="minorEastAsia" w:hAnsiTheme="minorEastAsia" w:eastAsiaTheme="minorEastAsia" w:cstheme="minorEastAsia"/>
                <w:szCs w:val="21"/>
              </w:rPr>
            </w:pPr>
          </w:p>
        </w:tc>
        <w:tc>
          <w:tcPr>
            <w:tcW w:w="830" w:type="pct"/>
            <w:vAlign w:val="center"/>
          </w:tcPr>
          <w:p w14:paraId="25CC0ABE">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业绩经验</w:t>
            </w:r>
          </w:p>
        </w:tc>
        <w:tc>
          <w:tcPr>
            <w:tcW w:w="414" w:type="pct"/>
            <w:vAlign w:val="center"/>
          </w:tcPr>
          <w:p w14:paraId="334C42D8">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12分</w:t>
            </w:r>
          </w:p>
        </w:tc>
        <w:tc>
          <w:tcPr>
            <w:tcW w:w="3361" w:type="pct"/>
            <w:vAlign w:val="center"/>
          </w:tcPr>
          <w:p w14:paraId="2F8CE260">
            <w:pPr>
              <w:pStyle w:val="7"/>
              <w:numPr>
                <w:ilvl w:val="0"/>
                <w:numId w:val="26"/>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电子政务软件开发业绩。</w:t>
            </w:r>
          </w:p>
          <w:p w14:paraId="50EEF37E">
            <w:pPr>
              <w:pStyle w:val="7"/>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供应商提供2021年1月1日至今（合同签订时间为准）电子政务软件运维业绩，每1个有效业绩得2分，最高4分，若上述合同有检验管理系统运维服务内容的，每1个有效业绩额外加1分，本小项最高得6分。</w:t>
            </w:r>
          </w:p>
          <w:p w14:paraId="0C1E0E97">
            <w:pPr>
              <w:pStyle w:val="7"/>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2.国产化适配实施业绩</w:t>
            </w:r>
          </w:p>
          <w:p w14:paraId="7055B291">
            <w:pPr>
              <w:pStyle w:val="7"/>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供应商提供2021年1月1日至今（合同签订时间为准）国产化适配实施业绩，同期合同明确包含国产软硬件适配、国产化改造内容，每1个有效业绩得3分，最高6分。</w:t>
            </w:r>
          </w:p>
          <w:p w14:paraId="64F0DA47">
            <w:pPr>
              <w:pStyle w:val="7"/>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14:paraId="425FF720">
            <w:pPr>
              <w:pStyle w:val="7"/>
              <w:tabs>
                <w:tab w:val="left" w:pos="312"/>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1.有效业绩材料：合同关键页（甲乙双方、项目名称、签订时间、服务内容）+项目验收证明复印件，加盖供应商公章；仅合同无验收材料不予计分；</w:t>
            </w:r>
          </w:p>
          <w:p w14:paraId="25AB20E7">
            <w:pPr>
              <w:pStyle w:val="7"/>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2.同一项目同时满足两类业绩，仅可计分一次，不重复累加；</w:t>
            </w:r>
          </w:p>
          <w:p w14:paraId="4E99397A">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3.合同无法体现软件/国产化适配内容的，不计分。</w:t>
            </w:r>
          </w:p>
        </w:tc>
      </w:tr>
      <w:tr w14:paraId="731D5B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30A39758">
            <w:pPr>
              <w:widowControl/>
              <w:numPr>
                <w:ilvl w:val="0"/>
                <w:numId w:val="25"/>
              </w:numPr>
              <w:adjustRightInd w:val="0"/>
              <w:snapToGrid w:val="0"/>
              <w:spacing w:line="360" w:lineRule="auto"/>
              <w:rPr>
                <w:rFonts w:asciiTheme="minorEastAsia" w:hAnsiTheme="minorEastAsia" w:eastAsiaTheme="minorEastAsia" w:cstheme="minorEastAsia"/>
                <w:szCs w:val="21"/>
              </w:rPr>
            </w:pPr>
          </w:p>
        </w:tc>
        <w:tc>
          <w:tcPr>
            <w:tcW w:w="830" w:type="pct"/>
            <w:vAlign w:val="center"/>
          </w:tcPr>
          <w:p w14:paraId="33F6B8E5">
            <w:pPr>
              <w:spacing w:line="360" w:lineRule="auto"/>
              <w:jc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szCs w:val="21"/>
              </w:rPr>
              <w:t>自主知识产权</w:t>
            </w:r>
          </w:p>
        </w:tc>
        <w:tc>
          <w:tcPr>
            <w:tcW w:w="414" w:type="pct"/>
            <w:vAlign w:val="center"/>
          </w:tcPr>
          <w:p w14:paraId="7290BCB5">
            <w:pPr>
              <w:spacing w:line="360" w:lineRule="auto"/>
              <w:jc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szCs w:val="21"/>
              </w:rPr>
              <w:t>8分</w:t>
            </w:r>
          </w:p>
        </w:tc>
        <w:tc>
          <w:tcPr>
            <w:tcW w:w="3361" w:type="pct"/>
            <w:vAlign w:val="center"/>
          </w:tcPr>
          <w:p w14:paraId="46F0228C">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供应商具有自主知识产权的计算机软件著作权登记证书，每提供1类管理系统/平台/软件证书得2分，最高得8分，不提供不得分。</w:t>
            </w:r>
          </w:p>
          <w:p w14:paraId="5ABD6E26">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同一类中有多个证书的不重复计分。 </w:t>
            </w:r>
          </w:p>
          <w:p w14:paraId="12E99488">
            <w:pPr>
              <w:pStyle w:val="41"/>
              <w:spacing w:after="0"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须提供计算机软件著作权证书复印件或中国版权保护中心（https://www.ccopyright.com.cn/）的相关网页截图并加盖供应商公章，不提供不得分，如证书内容无法证明其类别的，可提供相关证明材料并加盖供应商公章。</w:t>
            </w:r>
          </w:p>
        </w:tc>
      </w:tr>
      <w:tr w14:paraId="78071C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63093E1A">
            <w:pPr>
              <w:widowControl/>
              <w:numPr>
                <w:ilvl w:val="0"/>
                <w:numId w:val="25"/>
              </w:numPr>
              <w:adjustRightInd w:val="0"/>
              <w:snapToGrid w:val="0"/>
              <w:spacing w:line="360" w:lineRule="auto"/>
              <w:rPr>
                <w:rFonts w:asciiTheme="minorEastAsia" w:hAnsiTheme="minorEastAsia" w:eastAsiaTheme="minorEastAsia" w:cstheme="minorEastAsia"/>
                <w:szCs w:val="21"/>
              </w:rPr>
            </w:pPr>
          </w:p>
        </w:tc>
        <w:tc>
          <w:tcPr>
            <w:tcW w:w="830" w:type="pct"/>
            <w:vAlign w:val="center"/>
          </w:tcPr>
          <w:p w14:paraId="7DE8DC23">
            <w:pPr>
              <w:spacing w:line="360" w:lineRule="auto"/>
              <w:jc w:val="center"/>
              <w:rPr>
                <w:rFonts w:asciiTheme="minorEastAsia" w:hAnsiTheme="minorEastAsia" w:eastAsiaTheme="minorEastAsia" w:cstheme="minorEastAsia"/>
                <w:szCs w:val="21"/>
              </w:rPr>
            </w:pPr>
            <w:r>
              <w:rPr>
                <w:rFonts w:hint="eastAsia" w:ascii="宋体" w:hAnsi="宋体"/>
              </w:rPr>
              <w:t>安全服务保障措施</w:t>
            </w:r>
          </w:p>
        </w:tc>
        <w:tc>
          <w:tcPr>
            <w:tcW w:w="414" w:type="pct"/>
            <w:vAlign w:val="center"/>
          </w:tcPr>
          <w:p w14:paraId="017EDCAE">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9分</w:t>
            </w:r>
          </w:p>
        </w:tc>
        <w:tc>
          <w:tcPr>
            <w:tcW w:w="3361" w:type="pct"/>
            <w:vAlign w:val="center"/>
          </w:tcPr>
          <w:p w14:paraId="43987D79">
            <w:pPr>
              <w:spacing w:line="360" w:lineRule="auto"/>
              <w:jc w:val="left"/>
              <w:rPr>
                <w:rFonts w:ascii="宋体" w:hAnsi="宋体"/>
              </w:rPr>
            </w:pPr>
            <w:bookmarkStart w:id="73" w:name="OLE_LINK98"/>
            <w:bookmarkStart w:id="74" w:name="OLE_LINK97"/>
            <w:r>
              <w:rPr>
                <w:rFonts w:hint="eastAsia" w:ascii="宋体" w:hAnsi="宋体"/>
              </w:rPr>
              <w:t>根据供应商针对《第二章 用户需求书》“三、项目内容及要求”中“（四）安全服务要求”提供安全服务保障措施</w:t>
            </w:r>
            <w:r>
              <w:rPr>
                <w:rFonts w:hint="eastAsia"/>
              </w:rPr>
              <w:t>（包括但不限于管理制度、安全服务培训、泄密责任等）</w:t>
            </w:r>
            <w:r>
              <w:rPr>
                <w:rFonts w:hint="eastAsia" w:ascii="宋体" w:hAnsi="宋体"/>
              </w:rPr>
              <w:t>进行评审</w:t>
            </w:r>
            <w:bookmarkEnd w:id="73"/>
            <w:bookmarkEnd w:id="74"/>
            <w:r>
              <w:rPr>
                <w:rFonts w:hint="eastAsia" w:ascii="宋体" w:hAnsi="宋体"/>
              </w:rPr>
              <w:t>：</w:t>
            </w:r>
          </w:p>
          <w:p w14:paraId="41673AF2">
            <w:pPr>
              <w:spacing w:line="360" w:lineRule="auto"/>
              <w:jc w:val="left"/>
              <w:rPr>
                <w:rFonts w:ascii="宋体" w:hAnsi="宋体"/>
              </w:rPr>
            </w:pPr>
            <w:r>
              <w:rPr>
                <w:rFonts w:hint="eastAsia" w:ascii="宋体" w:hAnsi="宋体"/>
              </w:rPr>
              <w:t xml:space="preserve">1. 安全服务保障措施完整科学，合理性强，完全满足或优于采购需求，得9分； </w:t>
            </w:r>
          </w:p>
          <w:p w14:paraId="5612089A">
            <w:pPr>
              <w:spacing w:line="360" w:lineRule="auto"/>
              <w:jc w:val="left"/>
              <w:rPr>
                <w:rFonts w:ascii="宋体" w:hAnsi="宋体"/>
                <w:szCs w:val="21"/>
              </w:rPr>
            </w:pPr>
            <w:r>
              <w:rPr>
                <w:rFonts w:hint="eastAsia" w:ascii="宋体" w:hAnsi="宋体"/>
              </w:rPr>
              <w:t>2. 安全服务保障措施完整，科学合理，基本满足采购需求，</w:t>
            </w:r>
            <w:r>
              <w:rPr>
                <w:rFonts w:hint="eastAsia" w:ascii="宋体" w:hAnsi="宋体"/>
                <w:szCs w:val="21"/>
              </w:rPr>
              <w:t xml:space="preserve">得6分； </w:t>
            </w:r>
          </w:p>
          <w:p w14:paraId="446E446E">
            <w:pPr>
              <w:spacing w:line="360" w:lineRule="auto"/>
              <w:jc w:val="left"/>
              <w:rPr>
                <w:rFonts w:ascii="宋体" w:hAnsi="宋体"/>
                <w:szCs w:val="21"/>
              </w:rPr>
            </w:pPr>
            <w:r>
              <w:rPr>
                <w:rFonts w:hint="eastAsia" w:ascii="宋体" w:hAnsi="宋体"/>
                <w:szCs w:val="21"/>
              </w:rPr>
              <w:t>3. 安全服务保障措施较完整较合理，部分满足采购需求，得3分；</w:t>
            </w:r>
          </w:p>
          <w:p w14:paraId="480371B9">
            <w:pPr>
              <w:pStyle w:val="41"/>
              <w:spacing w:after="0" w:line="360" w:lineRule="auto"/>
              <w:ind w:firstLine="0" w:firstLineChars="0"/>
              <w:rPr>
                <w:rFonts w:asciiTheme="minorEastAsia" w:hAnsiTheme="minorEastAsia" w:eastAsiaTheme="minorEastAsia" w:cstheme="minorEastAsia"/>
                <w:sz w:val="21"/>
                <w:szCs w:val="21"/>
              </w:rPr>
            </w:pPr>
            <w:r>
              <w:rPr>
                <w:rFonts w:hint="eastAsia" w:ascii="宋体" w:eastAsia="宋体"/>
                <w:sz w:val="21"/>
                <w:szCs w:val="21"/>
              </w:rPr>
              <w:t>4．不提供或其他，不得分。</w:t>
            </w:r>
          </w:p>
        </w:tc>
      </w:tr>
      <w:tr w14:paraId="641633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vAlign w:val="center"/>
          </w:tcPr>
          <w:p w14:paraId="5FC0B43C">
            <w:pPr>
              <w:widowControl/>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价格部分（10分）</w:t>
            </w:r>
          </w:p>
        </w:tc>
      </w:tr>
      <w:tr w14:paraId="043C7F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 w:type="pct"/>
            <w:vAlign w:val="center"/>
          </w:tcPr>
          <w:p w14:paraId="64E57C09">
            <w:pPr>
              <w:numPr>
                <w:ilvl w:val="0"/>
                <w:numId w:val="27"/>
              </w:numPr>
              <w:snapToGrid w:val="0"/>
              <w:spacing w:line="360" w:lineRule="auto"/>
              <w:jc w:val="center"/>
              <w:rPr>
                <w:rFonts w:asciiTheme="minorEastAsia" w:hAnsiTheme="minorEastAsia" w:eastAsiaTheme="minorEastAsia" w:cstheme="minorEastAsia"/>
                <w:szCs w:val="21"/>
              </w:rPr>
            </w:pPr>
          </w:p>
        </w:tc>
        <w:tc>
          <w:tcPr>
            <w:tcW w:w="830" w:type="pct"/>
            <w:vAlign w:val="center"/>
          </w:tcPr>
          <w:p w14:paraId="73BEE98B">
            <w:pPr>
              <w:pStyle w:val="41"/>
              <w:spacing w:after="0" w:line="240" w:lineRule="auto"/>
              <w:ind w:firstLine="0" w:firstLineChars="0"/>
              <w:jc w:val="center"/>
              <w:rPr>
                <w:rFonts w:ascii="宋体" w:eastAsia="宋体" w:cstheme="minorEastAsia"/>
                <w:sz w:val="21"/>
                <w:szCs w:val="21"/>
              </w:rPr>
            </w:pPr>
            <w:r>
              <w:rPr>
                <w:rFonts w:hint="eastAsia" w:ascii="宋体" w:eastAsia="宋体" w:cstheme="minorEastAsia"/>
                <w:sz w:val="21"/>
                <w:szCs w:val="21"/>
              </w:rPr>
              <w:t>价格得分</w:t>
            </w:r>
          </w:p>
        </w:tc>
        <w:tc>
          <w:tcPr>
            <w:tcW w:w="414" w:type="pct"/>
            <w:vAlign w:val="center"/>
          </w:tcPr>
          <w:p w14:paraId="117FF786">
            <w:pPr>
              <w:pStyle w:val="41"/>
              <w:spacing w:after="0" w:line="240" w:lineRule="auto"/>
              <w:ind w:firstLine="0" w:firstLineChars="0"/>
              <w:jc w:val="center"/>
              <w:rPr>
                <w:rFonts w:ascii="宋体" w:eastAsia="宋体" w:cstheme="minorEastAsia"/>
                <w:sz w:val="21"/>
                <w:szCs w:val="21"/>
              </w:rPr>
            </w:pPr>
            <w:r>
              <w:rPr>
                <w:rFonts w:hint="eastAsia" w:ascii="宋体" w:eastAsia="宋体" w:cstheme="minorEastAsia"/>
                <w:sz w:val="21"/>
                <w:szCs w:val="21"/>
              </w:rPr>
              <w:t>10分</w:t>
            </w:r>
          </w:p>
        </w:tc>
        <w:tc>
          <w:tcPr>
            <w:tcW w:w="3361" w:type="pct"/>
            <w:vAlign w:val="center"/>
          </w:tcPr>
          <w:p w14:paraId="5848CAAA">
            <w:pPr>
              <w:pStyle w:val="41"/>
              <w:spacing w:after="0" w:line="360" w:lineRule="auto"/>
              <w:ind w:left="1" w:firstLine="0" w:firstLineChars="0"/>
              <w:rPr>
                <w:rFonts w:ascii="宋体" w:eastAsia="宋体" w:cstheme="minorEastAsia"/>
                <w:sz w:val="21"/>
                <w:szCs w:val="21"/>
              </w:rPr>
            </w:pPr>
            <w:r>
              <w:rPr>
                <w:rFonts w:hint="eastAsia" w:ascii="宋体" w:eastAsia="宋体" w:cstheme="minorEastAsia"/>
                <w:sz w:val="21"/>
                <w:szCs w:val="21"/>
              </w:rPr>
              <w:t>供应商价格分统一采用低价优先法计算，即满足零散采购文件要求且响应价格最低的响应报价为评审基准价，其价格分为满分。其他供应商的价格分统一按照下列公式计算：</w:t>
            </w:r>
          </w:p>
          <w:p w14:paraId="4291B52A">
            <w:pPr>
              <w:autoSpaceDE w:val="0"/>
              <w:autoSpaceDN w:val="0"/>
              <w:adjustRightInd w:val="0"/>
              <w:snapToGrid w:val="0"/>
              <w:spacing w:line="360" w:lineRule="auto"/>
              <w:rPr>
                <w:rFonts w:ascii="宋体" w:hAnsi="宋体" w:cstheme="minorEastAsia"/>
                <w:szCs w:val="21"/>
              </w:rPr>
            </w:pPr>
            <w:r>
              <w:rPr>
                <w:rFonts w:hint="eastAsia" w:ascii="宋体" w:hAnsi="宋体" w:cstheme="minorEastAsia"/>
                <w:szCs w:val="21"/>
              </w:rPr>
              <w:t>响应报价得分=(评审基准价／响应报价)×价格权重10%×100。</w:t>
            </w:r>
          </w:p>
          <w:p w14:paraId="0B1D0DD6">
            <w:pPr>
              <w:autoSpaceDE w:val="0"/>
              <w:autoSpaceDN w:val="0"/>
              <w:adjustRightInd w:val="0"/>
              <w:snapToGrid w:val="0"/>
              <w:spacing w:line="360" w:lineRule="auto"/>
              <w:rPr>
                <w:rFonts w:ascii="宋体" w:hAnsi="宋体"/>
                <w:szCs w:val="21"/>
              </w:rPr>
            </w:pPr>
            <w:r>
              <w:rPr>
                <w:rFonts w:hint="eastAsia" w:ascii="宋体" w:hAnsi="宋体"/>
                <w:szCs w:val="21"/>
              </w:rPr>
              <w:t>备注：</w:t>
            </w:r>
          </w:p>
          <w:p w14:paraId="2193FF08">
            <w:pPr>
              <w:autoSpaceDE w:val="0"/>
              <w:autoSpaceDN w:val="0"/>
              <w:adjustRightInd w:val="0"/>
              <w:snapToGrid w:val="0"/>
              <w:spacing w:line="360" w:lineRule="auto"/>
              <w:rPr>
                <w:rFonts w:ascii="宋体" w:hAnsi="宋体"/>
                <w:szCs w:val="21"/>
              </w:rPr>
            </w:pPr>
            <w:r>
              <w:rPr>
                <w:rFonts w:hint="eastAsia" w:ascii="宋体" w:hAnsi="宋体"/>
                <w:szCs w:val="21"/>
              </w:rPr>
              <w:t>1.报价得分四舍五入后，小数点后保留两位有效数；</w:t>
            </w:r>
          </w:p>
          <w:p w14:paraId="01378B14">
            <w:pPr>
              <w:pStyle w:val="41"/>
              <w:spacing w:after="0" w:line="360" w:lineRule="auto"/>
              <w:ind w:left="1" w:firstLine="0" w:firstLineChars="0"/>
              <w:rPr>
                <w:rFonts w:ascii="宋体" w:eastAsia="宋体" w:cstheme="minorEastAsia"/>
                <w:sz w:val="21"/>
                <w:szCs w:val="21"/>
              </w:rPr>
            </w:pPr>
            <w:r>
              <w:rPr>
                <w:rFonts w:hint="eastAsia" w:ascii="宋体" w:eastAsia="宋体"/>
                <w:sz w:val="21"/>
                <w:szCs w:val="21"/>
              </w:rPr>
              <w:t>2.供应商的报价明显低于其他供应商报价，有可能影响项目质量或者不能诚信履约的，评审委员会将要求其在合理的时间内提供书面说明，必要时提交相关证明材料；供应商不能证明其报价合理性的，评审委员会应当将其作为无效响应处理，取消其继续参与评审的资格。</w:t>
            </w:r>
          </w:p>
        </w:tc>
      </w:tr>
    </w:tbl>
    <w:p w14:paraId="0E1981B0">
      <w:pPr>
        <w:pStyle w:val="6"/>
      </w:pPr>
    </w:p>
    <w:p w14:paraId="1FD5756B">
      <w:pPr>
        <w:widowControl/>
        <w:spacing w:line="360" w:lineRule="auto"/>
        <w:jc w:val="center"/>
        <w:outlineLvl w:val="0"/>
        <w:rPr>
          <w:rFonts w:ascii="宋体" w:hAnsi="宋体"/>
          <w:b/>
          <w:bCs/>
          <w:color w:val="000000"/>
          <w:sz w:val="32"/>
          <w:szCs w:val="32"/>
          <w:lang w:val="zh-CN"/>
        </w:rPr>
      </w:pPr>
      <w:r>
        <w:rPr>
          <w:rFonts w:hint="eastAsia" w:ascii="宋体" w:hAnsi="宋体"/>
          <w:b/>
          <w:bCs/>
          <w:color w:val="000000"/>
          <w:sz w:val="32"/>
          <w:szCs w:val="32"/>
          <w:lang w:val="zh-CN"/>
        </w:rPr>
        <w:br w:type="page"/>
      </w:r>
      <w:r>
        <w:rPr>
          <w:rFonts w:hint="eastAsia" w:ascii="宋体" w:hAnsi="宋体"/>
          <w:b/>
          <w:bCs/>
          <w:color w:val="000000"/>
          <w:sz w:val="32"/>
          <w:szCs w:val="32"/>
          <w:lang w:val="zh-CN"/>
        </w:rPr>
        <w:t>第三章 响应文件附件</w:t>
      </w:r>
      <w:bookmarkStart w:id="75" w:name="_Toc435514852"/>
      <w:bookmarkStart w:id="76" w:name="_Toc435515292"/>
    </w:p>
    <w:p w14:paraId="790CAB0D">
      <w:pPr>
        <w:spacing w:line="360" w:lineRule="auto"/>
        <w:jc w:val="center"/>
        <w:outlineLvl w:val="0"/>
        <w:rPr>
          <w:rFonts w:ascii="宋体" w:hAnsi="宋体"/>
          <w:b/>
          <w:bCs/>
          <w:color w:val="000000"/>
          <w:sz w:val="32"/>
          <w:szCs w:val="32"/>
          <w:lang w:val="zh-CN"/>
        </w:rPr>
      </w:pPr>
      <w:r>
        <w:rPr>
          <w:rFonts w:hint="eastAsia" w:ascii="宋体" w:hAnsi="宋体"/>
          <w:b/>
          <w:bCs/>
          <w:color w:val="000000"/>
          <w:sz w:val="32"/>
          <w:szCs w:val="32"/>
        </w:rPr>
        <w:t>响应文件封面参考</w:t>
      </w:r>
      <w:bookmarkEnd w:id="75"/>
      <w:bookmarkEnd w:id="76"/>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552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jc w:val="center"/>
        </w:trPr>
        <w:tc>
          <w:tcPr>
            <w:tcW w:w="5000" w:type="pct"/>
          </w:tcPr>
          <w:p w14:paraId="6AC37EF7">
            <w:pPr>
              <w:adjustRightInd w:val="0"/>
              <w:spacing w:line="360" w:lineRule="auto"/>
              <w:textAlignment w:val="baseline"/>
              <w:rPr>
                <w:rFonts w:ascii="宋体" w:hAnsi="宋体"/>
                <w:b/>
                <w:color w:val="000000"/>
                <w:kern w:val="0"/>
                <w:sz w:val="32"/>
                <w:szCs w:val="32"/>
              </w:rPr>
            </w:pPr>
          </w:p>
          <w:p w14:paraId="66CC2045">
            <w:pPr>
              <w:adjustRightInd w:val="0"/>
              <w:spacing w:line="360" w:lineRule="auto"/>
              <w:textAlignment w:val="baseline"/>
              <w:rPr>
                <w:rFonts w:ascii="宋体" w:hAnsi="宋体"/>
                <w:b/>
                <w:color w:val="000000"/>
                <w:kern w:val="0"/>
                <w:sz w:val="32"/>
                <w:szCs w:val="32"/>
              </w:rPr>
            </w:pPr>
          </w:p>
          <w:p w14:paraId="4DE490C5">
            <w:pPr>
              <w:adjustRightInd w:val="0"/>
              <w:spacing w:line="360" w:lineRule="auto"/>
              <w:jc w:val="center"/>
              <w:textAlignment w:val="baseline"/>
              <w:rPr>
                <w:rFonts w:ascii="宋体" w:hAnsi="宋体"/>
                <w:b/>
                <w:color w:val="000000"/>
                <w:kern w:val="0"/>
                <w:sz w:val="72"/>
                <w:szCs w:val="72"/>
              </w:rPr>
            </w:pPr>
            <w:r>
              <w:rPr>
                <w:rFonts w:hint="eastAsia" w:ascii="宋体" w:hAnsi="宋体"/>
                <w:b/>
                <w:color w:val="000000"/>
                <w:kern w:val="0"/>
                <w:sz w:val="72"/>
                <w:szCs w:val="72"/>
              </w:rPr>
              <w:t>响 应 文 件</w:t>
            </w:r>
          </w:p>
          <w:p w14:paraId="3930C191">
            <w:pPr>
              <w:adjustRightInd w:val="0"/>
              <w:spacing w:line="360" w:lineRule="auto"/>
              <w:textAlignment w:val="baseline"/>
              <w:rPr>
                <w:rFonts w:ascii="宋体" w:hAnsi="宋体"/>
                <w:b/>
                <w:color w:val="000000"/>
                <w:kern w:val="0"/>
                <w:sz w:val="32"/>
                <w:szCs w:val="32"/>
              </w:rPr>
            </w:pPr>
          </w:p>
          <w:p w14:paraId="2023813C">
            <w:pPr>
              <w:adjustRightInd w:val="0"/>
              <w:spacing w:line="360" w:lineRule="auto"/>
              <w:textAlignment w:val="baseline"/>
              <w:rPr>
                <w:rFonts w:ascii="宋体" w:hAnsi="宋体"/>
                <w:b/>
                <w:color w:val="000000"/>
                <w:kern w:val="0"/>
                <w:sz w:val="32"/>
                <w:szCs w:val="32"/>
              </w:rPr>
            </w:pPr>
          </w:p>
          <w:p w14:paraId="6705939F">
            <w:pPr>
              <w:adjustRightInd w:val="0"/>
              <w:spacing w:line="360" w:lineRule="auto"/>
              <w:textAlignment w:val="baseline"/>
              <w:rPr>
                <w:rFonts w:ascii="宋体" w:hAnsi="宋体"/>
                <w:b/>
                <w:color w:val="000000"/>
                <w:kern w:val="0"/>
                <w:sz w:val="28"/>
                <w:szCs w:val="28"/>
              </w:rPr>
            </w:pPr>
            <w:r>
              <w:rPr>
                <w:rFonts w:hint="eastAsia" w:ascii="宋体" w:hAnsi="宋体"/>
                <w:b/>
                <w:color w:val="000000"/>
                <w:kern w:val="0"/>
                <w:sz w:val="28"/>
                <w:szCs w:val="28"/>
              </w:rPr>
              <w:t>项目编号：</w:t>
            </w:r>
          </w:p>
          <w:p w14:paraId="4963DC5E">
            <w:pPr>
              <w:adjustRightInd w:val="0"/>
              <w:spacing w:line="360" w:lineRule="auto"/>
              <w:textAlignment w:val="baseline"/>
              <w:rPr>
                <w:rFonts w:ascii="宋体" w:hAnsi="宋体"/>
                <w:b/>
                <w:color w:val="000000"/>
                <w:kern w:val="0"/>
                <w:sz w:val="28"/>
                <w:szCs w:val="28"/>
              </w:rPr>
            </w:pPr>
            <w:r>
              <w:rPr>
                <w:rFonts w:hint="eastAsia" w:ascii="宋体" w:hAnsi="宋体"/>
                <w:b/>
                <w:color w:val="000000"/>
                <w:kern w:val="0"/>
                <w:sz w:val="28"/>
                <w:szCs w:val="28"/>
              </w:rPr>
              <w:t>项目名称：</w:t>
            </w:r>
            <w:r>
              <w:rPr>
                <w:rFonts w:hint="eastAsia" w:ascii="宋体" w:hAnsi="宋体"/>
                <w:b/>
                <w:color w:val="000000"/>
                <w:kern w:val="0"/>
                <w:sz w:val="28"/>
                <w:szCs w:val="28"/>
                <w:u w:val="single"/>
              </w:rPr>
              <w:t xml:space="preserve"> 公共卫生检验管理系统2026-2027年运维服务项目</w:t>
            </w:r>
          </w:p>
          <w:p w14:paraId="158C398E">
            <w:pPr>
              <w:adjustRightInd w:val="0"/>
              <w:spacing w:line="360" w:lineRule="auto"/>
              <w:textAlignment w:val="baseline"/>
              <w:rPr>
                <w:rFonts w:ascii="宋体" w:hAnsi="宋体"/>
                <w:b/>
                <w:color w:val="000000"/>
                <w:kern w:val="0"/>
                <w:sz w:val="28"/>
                <w:szCs w:val="28"/>
              </w:rPr>
            </w:pPr>
            <w:r>
              <w:rPr>
                <w:rFonts w:hint="eastAsia" w:ascii="宋体" w:hAnsi="宋体"/>
                <w:b/>
                <w:color w:val="000000"/>
                <w:kern w:val="0"/>
                <w:sz w:val="28"/>
                <w:szCs w:val="28"/>
              </w:rPr>
              <w:t>供应商名称：</w:t>
            </w:r>
          </w:p>
          <w:p w14:paraId="63B6C70B">
            <w:pPr>
              <w:adjustRightInd w:val="0"/>
              <w:spacing w:line="360" w:lineRule="auto"/>
              <w:textAlignment w:val="baseline"/>
              <w:rPr>
                <w:rFonts w:ascii="宋体" w:hAnsi="宋体"/>
                <w:b/>
                <w:color w:val="000000"/>
                <w:kern w:val="0"/>
                <w:sz w:val="28"/>
                <w:szCs w:val="28"/>
              </w:rPr>
            </w:pPr>
            <w:r>
              <w:rPr>
                <w:rFonts w:hint="eastAsia" w:ascii="宋体" w:hAnsi="宋体"/>
                <w:b/>
                <w:color w:val="000000"/>
                <w:kern w:val="0"/>
                <w:sz w:val="28"/>
                <w:szCs w:val="28"/>
              </w:rPr>
              <w:t>供应商地址：</w:t>
            </w:r>
          </w:p>
          <w:p w14:paraId="2C66DE23">
            <w:pPr>
              <w:adjustRightInd w:val="0"/>
              <w:spacing w:line="360" w:lineRule="auto"/>
              <w:textAlignment w:val="baseline"/>
              <w:rPr>
                <w:rFonts w:ascii="宋体" w:hAnsi="宋体"/>
                <w:b/>
                <w:color w:val="000000"/>
                <w:kern w:val="0"/>
                <w:sz w:val="32"/>
                <w:szCs w:val="32"/>
              </w:rPr>
            </w:pPr>
          </w:p>
        </w:tc>
      </w:tr>
    </w:tbl>
    <w:p w14:paraId="15F40221">
      <w:pPr>
        <w:spacing w:line="360" w:lineRule="auto"/>
        <w:rPr>
          <w:rFonts w:ascii="宋体" w:hAnsi="宋体"/>
          <w:color w:val="000000"/>
          <w:kern w:val="0"/>
          <w:sz w:val="20"/>
          <w:szCs w:val="21"/>
        </w:rPr>
      </w:pPr>
    </w:p>
    <w:p w14:paraId="2CAF8C9A">
      <w:pPr>
        <w:widowControl/>
        <w:spacing w:line="360" w:lineRule="auto"/>
        <w:jc w:val="left"/>
        <w:rPr>
          <w:rFonts w:ascii="宋体" w:hAnsi="宋体"/>
          <w:b/>
          <w:bCs/>
          <w:color w:val="000000"/>
          <w:szCs w:val="21"/>
        </w:rPr>
      </w:pPr>
    </w:p>
    <w:p w14:paraId="638FBDC7">
      <w:pPr>
        <w:keepNext/>
        <w:keepLines/>
        <w:spacing w:before="260" w:line="415" w:lineRule="auto"/>
        <w:jc w:val="center"/>
        <w:outlineLvl w:val="1"/>
        <w:rPr>
          <w:rFonts w:ascii="宋体" w:hAnsi="宋体"/>
          <w:b/>
          <w:bCs/>
          <w:sz w:val="32"/>
          <w:szCs w:val="32"/>
        </w:rPr>
      </w:pPr>
      <w:r>
        <w:rPr>
          <w:rFonts w:hint="eastAsia" w:ascii="宋体" w:hAnsi="宋体"/>
          <w:b/>
          <w:bCs/>
          <w:sz w:val="32"/>
          <w:szCs w:val="32"/>
        </w:rPr>
        <w:t>报名报价响应文件目录</w:t>
      </w:r>
    </w:p>
    <w:tbl>
      <w:tblPr>
        <w:tblStyle w:val="1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75"/>
        <w:gridCol w:w="1398"/>
        <w:gridCol w:w="3869"/>
        <w:gridCol w:w="595"/>
        <w:gridCol w:w="753"/>
        <w:gridCol w:w="1232"/>
      </w:tblGrid>
      <w:tr w14:paraId="49513E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6" w:type="pct"/>
            <w:vAlign w:val="center"/>
          </w:tcPr>
          <w:p w14:paraId="7361E7BA">
            <w:pPr>
              <w:snapToGrid w:val="0"/>
              <w:jc w:val="center"/>
              <w:rPr>
                <w:rFonts w:ascii="宋体" w:hAnsi="宋体"/>
                <w:b/>
                <w:color w:val="000000"/>
                <w:szCs w:val="21"/>
              </w:rPr>
            </w:pPr>
            <w:r>
              <w:rPr>
                <w:rFonts w:hint="eastAsia" w:ascii="宋体" w:hAnsi="宋体"/>
                <w:b/>
                <w:color w:val="000000"/>
                <w:szCs w:val="21"/>
              </w:rPr>
              <w:t>序号</w:t>
            </w:r>
          </w:p>
        </w:tc>
        <w:tc>
          <w:tcPr>
            <w:tcW w:w="3090" w:type="pct"/>
            <w:gridSpan w:val="2"/>
            <w:vAlign w:val="center"/>
          </w:tcPr>
          <w:p w14:paraId="50C5BBDF">
            <w:pPr>
              <w:snapToGrid w:val="0"/>
              <w:jc w:val="center"/>
              <w:rPr>
                <w:rFonts w:ascii="宋体" w:hAnsi="宋体"/>
                <w:b/>
                <w:color w:val="000000"/>
                <w:szCs w:val="21"/>
              </w:rPr>
            </w:pPr>
            <w:r>
              <w:rPr>
                <w:rFonts w:hint="eastAsia" w:ascii="宋体" w:hAnsi="宋体" w:cs="宋体"/>
                <w:b/>
                <w:color w:val="000000"/>
                <w:szCs w:val="21"/>
              </w:rPr>
              <w:t>评审因素</w:t>
            </w:r>
          </w:p>
        </w:tc>
        <w:tc>
          <w:tcPr>
            <w:tcW w:w="791" w:type="pct"/>
            <w:gridSpan w:val="2"/>
            <w:vAlign w:val="center"/>
          </w:tcPr>
          <w:p w14:paraId="67B250D5">
            <w:pPr>
              <w:snapToGrid w:val="0"/>
              <w:jc w:val="center"/>
              <w:rPr>
                <w:rFonts w:ascii="宋体" w:hAnsi="宋体"/>
                <w:b/>
                <w:color w:val="000000"/>
                <w:szCs w:val="21"/>
              </w:rPr>
            </w:pPr>
            <w:r>
              <w:rPr>
                <w:rFonts w:hint="eastAsia" w:ascii="宋体" w:hAnsi="宋体"/>
                <w:b/>
                <w:color w:val="000000"/>
                <w:szCs w:val="21"/>
              </w:rPr>
              <w:t>提交内容</w:t>
            </w:r>
          </w:p>
        </w:tc>
        <w:tc>
          <w:tcPr>
            <w:tcW w:w="723" w:type="pct"/>
            <w:vAlign w:val="center"/>
          </w:tcPr>
          <w:p w14:paraId="4825898D">
            <w:pPr>
              <w:snapToGrid w:val="0"/>
              <w:jc w:val="center"/>
              <w:rPr>
                <w:rFonts w:ascii="宋体" w:hAnsi="宋体"/>
                <w:b/>
                <w:color w:val="000000"/>
                <w:szCs w:val="21"/>
              </w:rPr>
            </w:pPr>
            <w:r>
              <w:rPr>
                <w:rFonts w:hint="eastAsia" w:ascii="宋体" w:hAnsi="宋体"/>
                <w:b/>
                <w:color w:val="000000"/>
                <w:szCs w:val="21"/>
              </w:rPr>
              <w:t>证明文件</w:t>
            </w:r>
          </w:p>
        </w:tc>
      </w:tr>
      <w:tr w14:paraId="260BFA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000" w:type="pct"/>
            <w:gridSpan w:val="6"/>
            <w:vAlign w:val="center"/>
          </w:tcPr>
          <w:p w14:paraId="502B2ABB">
            <w:pPr>
              <w:snapToGrid w:val="0"/>
              <w:jc w:val="center"/>
              <w:rPr>
                <w:rFonts w:ascii="宋体" w:hAnsi="宋体"/>
                <w:b/>
                <w:bCs/>
                <w:color w:val="000000"/>
                <w:szCs w:val="21"/>
              </w:rPr>
            </w:pPr>
            <w:r>
              <w:rPr>
                <w:rFonts w:hint="eastAsia" w:ascii="宋体" w:hAnsi="宋体"/>
                <w:b/>
                <w:bCs/>
                <w:color w:val="000000"/>
                <w:szCs w:val="21"/>
              </w:rPr>
              <w:t>报名条件</w:t>
            </w:r>
          </w:p>
        </w:tc>
      </w:tr>
      <w:tr w14:paraId="32A73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6" w:type="pct"/>
            <w:vAlign w:val="center"/>
          </w:tcPr>
          <w:p w14:paraId="52D62EAA">
            <w:pPr>
              <w:numPr>
                <w:ilvl w:val="0"/>
                <w:numId w:val="28"/>
              </w:numPr>
              <w:adjustRightInd w:val="0"/>
              <w:snapToGrid w:val="0"/>
              <w:ind w:left="0" w:firstLine="0"/>
              <w:jc w:val="center"/>
              <w:textAlignment w:val="baseline"/>
              <w:rPr>
                <w:rFonts w:ascii="宋体" w:hAnsi="宋体"/>
                <w:color w:val="000000"/>
                <w:szCs w:val="21"/>
              </w:rPr>
            </w:pPr>
          </w:p>
        </w:tc>
        <w:tc>
          <w:tcPr>
            <w:tcW w:w="3090" w:type="pct"/>
            <w:gridSpan w:val="2"/>
            <w:vAlign w:val="center"/>
          </w:tcPr>
          <w:p w14:paraId="249F638C">
            <w:pPr>
              <w:widowControl/>
              <w:spacing w:line="360" w:lineRule="auto"/>
              <w:jc w:val="left"/>
              <w:rPr>
                <w:rFonts w:ascii="宋体" w:hAnsi="宋体" w:cs="宋体"/>
                <w:color w:val="000000"/>
                <w:kern w:val="0"/>
                <w:szCs w:val="21"/>
              </w:rPr>
            </w:pPr>
            <w:r>
              <w:rPr>
                <w:rFonts w:hint="eastAsia" w:ascii="宋体" w:hAnsi="宋体" w:cs="宋体"/>
              </w:rPr>
              <w:t>①具有独立承担民事责任的在中华人民共和国境内注册的法人或其他组织；提供营业执照、税务登记证、组织机构代码证或者三证合一复印件（有效期内，并盖公章）；②经办人如是法定代表人，需提供法定代表人证明书及法定代表人身份证复印件，格式详见附件；经办人如是供应商授权代表，需提供法定代表人证明书、法定代表人身份证复印件、法定代表人授权委托书、授权代表身份证复印件，</w:t>
            </w:r>
            <w:r>
              <w:rPr>
                <w:rFonts w:hint="eastAsia" w:ascii="宋体" w:hAnsi="宋体" w:cs="宋体"/>
                <w:b/>
              </w:rPr>
              <w:t>格式详见附件</w:t>
            </w:r>
            <w:r>
              <w:rPr>
                <w:rFonts w:hint="eastAsia" w:ascii="宋体" w:hAnsi="宋体" w:cs="宋体"/>
              </w:rPr>
              <w:t>；</w:t>
            </w:r>
          </w:p>
        </w:tc>
        <w:tc>
          <w:tcPr>
            <w:tcW w:w="791" w:type="pct"/>
            <w:gridSpan w:val="2"/>
            <w:vAlign w:val="center"/>
          </w:tcPr>
          <w:p w14:paraId="12DDA7DB">
            <w:pPr>
              <w:snapToGrid w:val="0"/>
              <w:jc w:val="center"/>
              <w:rPr>
                <w:rFonts w:ascii="宋体" w:hAnsi="宋体" w:cs="宋体"/>
                <w:color w:val="000000"/>
                <w:kern w:val="0"/>
                <w:szCs w:val="21"/>
              </w:rPr>
            </w:pPr>
            <w:r>
              <w:rPr>
                <w:rFonts w:ascii="宋体" w:hAnsi="宋体" w:cs="宋体"/>
                <w:color w:val="000000"/>
                <w:kern w:val="0"/>
                <w:szCs w:val="21"/>
              </w:rPr>
              <w:t>提供营业执照及</w:t>
            </w:r>
            <w:r>
              <w:rPr>
                <w:rFonts w:hint="eastAsia" w:ascii="宋体" w:hAnsi="宋体" w:cs="宋体"/>
              </w:rPr>
              <w:t>法定代表人证明书等相关材料</w:t>
            </w:r>
          </w:p>
        </w:tc>
        <w:tc>
          <w:tcPr>
            <w:tcW w:w="723" w:type="pct"/>
            <w:vAlign w:val="center"/>
          </w:tcPr>
          <w:p w14:paraId="35462A18">
            <w:pPr>
              <w:snapToGrid w:val="0"/>
              <w:jc w:val="center"/>
              <w:rPr>
                <w:rFonts w:ascii="宋体" w:hAnsi="宋体"/>
                <w:color w:val="000000"/>
                <w:szCs w:val="21"/>
              </w:rPr>
            </w:pPr>
            <w:r>
              <w:rPr>
                <w:rFonts w:hint="eastAsia" w:ascii="宋体" w:hAnsi="宋体"/>
                <w:color w:val="000000"/>
                <w:szCs w:val="21"/>
              </w:rPr>
              <w:t>第（ ）页-（ ）页</w:t>
            </w:r>
          </w:p>
        </w:tc>
      </w:tr>
      <w:tr w14:paraId="21DA92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6" w:type="pct"/>
            <w:vAlign w:val="center"/>
          </w:tcPr>
          <w:p w14:paraId="00E64964">
            <w:pPr>
              <w:numPr>
                <w:ilvl w:val="0"/>
                <w:numId w:val="28"/>
              </w:numPr>
              <w:adjustRightInd w:val="0"/>
              <w:snapToGrid w:val="0"/>
              <w:ind w:left="0" w:firstLine="0"/>
              <w:jc w:val="center"/>
              <w:textAlignment w:val="baseline"/>
              <w:rPr>
                <w:rFonts w:ascii="宋体" w:hAnsi="宋体"/>
                <w:color w:val="000000"/>
                <w:szCs w:val="21"/>
              </w:rPr>
            </w:pPr>
          </w:p>
        </w:tc>
        <w:tc>
          <w:tcPr>
            <w:tcW w:w="3090" w:type="pct"/>
            <w:gridSpan w:val="2"/>
            <w:vAlign w:val="center"/>
          </w:tcPr>
          <w:p w14:paraId="6336DF69">
            <w:pPr>
              <w:spacing w:line="360" w:lineRule="auto"/>
              <w:jc w:val="left"/>
              <w:rPr>
                <w:rFonts w:ascii="Times New Roman" w:hAnsi="Times New Roman"/>
                <w:color w:val="000000"/>
                <w:szCs w:val="21"/>
              </w:rPr>
            </w:pPr>
            <w:r>
              <w:rPr>
                <w:rFonts w:hint="eastAsia" w:ascii="宋体" w:hAnsi="宋体" w:cs="宋体"/>
              </w:rPr>
              <w:t>①在中国政府采购网</w:t>
            </w:r>
            <w:r>
              <w:rPr>
                <w:rFonts w:ascii="宋体" w:hAnsi="宋体" w:cs="宋体"/>
              </w:rPr>
              <w:t>http://www.ccgp.gov.cn/search/cr/ “政府采购严重违法失信行为信息记录”中查询没有处于禁止参加政府采购活动的记录名单；②在信用中国无受过严重失信信息和经营异常或行政处罚的 https://www.creditchina.gov.cn/ 生成信用报告；信用报告生成指南：</w:t>
            </w:r>
            <w:r>
              <w:rPr>
                <w:rFonts w:hint="eastAsia" w:ascii="宋体" w:hAnsi="宋体" w:cs="宋体"/>
              </w:rPr>
              <w:t>https://www.creditchina.gov.cn/xybgxzzn/</w:t>
            </w:r>
            <w:r>
              <w:rPr>
                <w:rFonts w:ascii="宋体" w:hAnsi="宋体" w:cs="宋体"/>
              </w:rPr>
              <w:t xml:space="preserve"> ；如是个体工商户可以登录国家企业信用信息公示系统或信用中国（广东）查询，国家企业信用信息公示系统https://www.gsxt.gov.cn/index.html ； 信用中国（广东）：</w:t>
            </w:r>
            <w:r>
              <w:fldChar w:fldCharType="begin"/>
            </w:r>
            <w:r>
              <w:instrText xml:space="preserve"> HYPERLINK "https://credit.gd.gov.cn/" </w:instrText>
            </w:r>
            <w:r>
              <w:fldChar w:fldCharType="separate"/>
            </w:r>
            <w:r>
              <w:rPr>
                <w:rStyle w:val="22"/>
                <w:rFonts w:ascii="宋体" w:hAnsi="宋体" w:cs="宋体"/>
                <w:color w:val="auto"/>
              </w:rPr>
              <w:t>https://credit.gd.gov.cn/</w:t>
            </w:r>
            <w:r>
              <w:rPr>
                <w:rStyle w:val="22"/>
                <w:rFonts w:ascii="宋体" w:hAnsi="宋体" w:cs="宋体"/>
                <w:color w:val="auto"/>
              </w:rPr>
              <w:fldChar w:fldCharType="end"/>
            </w:r>
            <w:r>
              <w:rPr>
                <w:rFonts w:hint="eastAsia" w:ascii="宋体" w:hAnsi="宋体" w:cs="宋体"/>
              </w:rPr>
              <w:t xml:space="preserve"> ；</w:t>
            </w:r>
          </w:p>
        </w:tc>
        <w:tc>
          <w:tcPr>
            <w:tcW w:w="791" w:type="pct"/>
            <w:gridSpan w:val="2"/>
            <w:vAlign w:val="center"/>
          </w:tcPr>
          <w:p w14:paraId="11631A36">
            <w:pPr>
              <w:snapToGrid w:val="0"/>
              <w:jc w:val="center"/>
              <w:rPr>
                <w:rFonts w:ascii="宋体" w:hAnsi="宋体" w:cs="宋体"/>
                <w:color w:val="000000"/>
                <w:kern w:val="0"/>
                <w:szCs w:val="21"/>
              </w:rPr>
            </w:pPr>
            <w:r>
              <w:rPr>
                <w:rFonts w:hint="eastAsia" w:ascii="宋体" w:hAnsi="宋体" w:cs="宋体"/>
                <w:bCs/>
                <w:color w:val="000000"/>
                <w:kern w:val="0"/>
                <w:szCs w:val="21"/>
              </w:rPr>
              <w:t>按要求提供资料</w:t>
            </w:r>
          </w:p>
        </w:tc>
        <w:tc>
          <w:tcPr>
            <w:tcW w:w="723" w:type="pct"/>
            <w:vAlign w:val="center"/>
          </w:tcPr>
          <w:p w14:paraId="47D42009">
            <w:pPr>
              <w:snapToGrid w:val="0"/>
              <w:jc w:val="center"/>
              <w:rPr>
                <w:rFonts w:ascii="宋体" w:hAnsi="宋体"/>
                <w:color w:val="000000"/>
                <w:szCs w:val="21"/>
              </w:rPr>
            </w:pPr>
            <w:r>
              <w:rPr>
                <w:rFonts w:hint="eastAsia" w:ascii="宋体" w:hAnsi="宋体"/>
                <w:color w:val="000000"/>
                <w:szCs w:val="21"/>
              </w:rPr>
              <w:t>第（ ）页-（ ）页</w:t>
            </w:r>
          </w:p>
        </w:tc>
      </w:tr>
      <w:tr w14:paraId="1C433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6" w:type="pct"/>
            <w:vAlign w:val="center"/>
          </w:tcPr>
          <w:p w14:paraId="70F157C7">
            <w:pPr>
              <w:adjustRightInd w:val="0"/>
              <w:snapToGrid w:val="0"/>
              <w:jc w:val="center"/>
              <w:textAlignment w:val="baseline"/>
              <w:rPr>
                <w:rFonts w:ascii="宋体" w:hAnsi="宋体"/>
                <w:color w:val="000000"/>
                <w:szCs w:val="21"/>
              </w:rPr>
            </w:pPr>
            <w:r>
              <w:rPr>
                <w:rFonts w:hint="eastAsia" w:ascii="宋体" w:hAnsi="宋体"/>
                <w:color w:val="000000"/>
                <w:szCs w:val="21"/>
              </w:rPr>
              <w:t>3.</w:t>
            </w:r>
          </w:p>
        </w:tc>
        <w:tc>
          <w:tcPr>
            <w:tcW w:w="3090" w:type="pct"/>
            <w:gridSpan w:val="2"/>
            <w:vAlign w:val="center"/>
          </w:tcPr>
          <w:p w14:paraId="452120D7">
            <w:pPr>
              <w:spacing w:line="360" w:lineRule="auto"/>
              <w:jc w:val="left"/>
              <w:rPr>
                <w:rFonts w:ascii="宋体" w:hAnsi="宋体"/>
              </w:rPr>
            </w:pPr>
            <w:r>
              <w:rPr>
                <w:rStyle w:val="35"/>
                <w:rFonts w:hint="eastAsia" w:ascii="宋体" w:hAnsi="宋体" w:eastAsia="宋体"/>
                <w:sz w:val="21"/>
                <w:szCs w:val="21"/>
              </w:rPr>
              <w:t>①</w:t>
            </w:r>
            <w:r>
              <w:rPr>
                <w:rStyle w:val="35"/>
                <w:rFonts w:ascii="宋体" w:hAnsi="宋体" w:eastAsia="宋体"/>
                <w:sz w:val="21"/>
                <w:szCs w:val="21"/>
              </w:rPr>
              <w:t>供应商必须具有履行合同能力且供应商在参加本次采购活动的最近三年内，在经营活动中无违法记录</w:t>
            </w:r>
            <w:r>
              <w:rPr>
                <w:rStyle w:val="35"/>
                <w:rFonts w:hint="eastAsia" w:ascii="宋体" w:hAnsi="宋体" w:eastAsia="宋体"/>
                <w:sz w:val="21"/>
                <w:szCs w:val="21"/>
              </w:rPr>
              <w:t>。</w:t>
            </w:r>
            <w:r>
              <w:rPr>
                <w:rStyle w:val="35"/>
                <w:rFonts w:ascii="宋体" w:hAnsi="宋体" w:eastAsia="宋体"/>
                <w:sz w:val="21"/>
                <w:szCs w:val="21"/>
              </w:rPr>
              <w:t>承诺按用户需求书要求完成服务，否则采购单位可取消</w:t>
            </w:r>
            <w:r>
              <w:rPr>
                <w:rStyle w:val="35"/>
                <w:rFonts w:hint="eastAsia" w:ascii="宋体" w:hAnsi="宋体" w:eastAsia="宋体"/>
                <w:sz w:val="21"/>
                <w:szCs w:val="21"/>
              </w:rPr>
              <w:t>供应商</w:t>
            </w:r>
            <w:r>
              <w:rPr>
                <w:rStyle w:val="35"/>
                <w:rFonts w:ascii="宋体" w:hAnsi="宋体" w:eastAsia="宋体"/>
                <w:sz w:val="21"/>
                <w:szCs w:val="21"/>
              </w:rPr>
              <w:t>成交资格，以及列入采购不良行为名单</w:t>
            </w:r>
            <w:r>
              <w:rPr>
                <w:rStyle w:val="35"/>
                <w:rFonts w:ascii="宋体" w:hAnsi="宋体" w:eastAsia="宋体"/>
                <w:b/>
                <w:bCs/>
                <w:sz w:val="21"/>
                <w:szCs w:val="21"/>
              </w:rPr>
              <w:t>（需提供相关书面承诺函，格式详见附件）</w:t>
            </w:r>
            <w:r>
              <w:rPr>
                <w:rStyle w:val="35"/>
                <w:rFonts w:ascii="宋体" w:hAnsi="宋体" w:eastAsia="宋体"/>
                <w:sz w:val="21"/>
                <w:szCs w:val="21"/>
              </w:rPr>
              <w:t>；</w:t>
            </w:r>
            <w:r>
              <w:rPr>
                <w:rStyle w:val="35"/>
                <w:rFonts w:hint="eastAsia" w:ascii="宋体" w:hAnsi="宋体" w:eastAsia="宋体"/>
                <w:sz w:val="21"/>
                <w:szCs w:val="21"/>
              </w:rPr>
              <w:t>②符合《中华人民共和国政府采购法》第二十二条的规定；本项目不接受联合参与，不允许转包、分包。供应商须提供供应商资格声明函，</w:t>
            </w:r>
            <w:r>
              <w:rPr>
                <w:rStyle w:val="35"/>
                <w:rFonts w:hint="eastAsia" w:ascii="宋体" w:hAnsi="宋体" w:eastAsia="宋体"/>
                <w:b/>
                <w:bCs/>
                <w:sz w:val="21"/>
                <w:szCs w:val="21"/>
              </w:rPr>
              <w:t>格式详见附件；</w:t>
            </w:r>
          </w:p>
        </w:tc>
        <w:tc>
          <w:tcPr>
            <w:tcW w:w="791" w:type="pct"/>
            <w:gridSpan w:val="2"/>
            <w:vAlign w:val="center"/>
          </w:tcPr>
          <w:p w14:paraId="5E4A3F35">
            <w:pPr>
              <w:snapToGrid w:val="0"/>
              <w:jc w:val="center"/>
              <w:rPr>
                <w:rFonts w:ascii="宋体" w:hAnsi="宋体" w:cs="宋体"/>
                <w:color w:val="000000"/>
                <w:kern w:val="0"/>
                <w:szCs w:val="21"/>
              </w:rPr>
            </w:pPr>
            <w:r>
              <w:rPr>
                <w:rFonts w:hint="eastAsia" w:ascii="宋体" w:hAnsi="宋体" w:cs="宋体"/>
                <w:color w:val="000000"/>
                <w:kern w:val="0"/>
                <w:szCs w:val="21"/>
              </w:rPr>
              <w:t>提供承诺函和</w:t>
            </w:r>
            <w:r>
              <w:rPr>
                <w:rFonts w:hint="eastAsia" w:ascii="宋体" w:hAnsi="宋体"/>
              </w:rPr>
              <w:t>供应商资格声明函</w:t>
            </w:r>
          </w:p>
        </w:tc>
        <w:tc>
          <w:tcPr>
            <w:tcW w:w="723" w:type="pct"/>
            <w:vAlign w:val="center"/>
          </w:tcPr>
          <w:p w14:paraId="1383E847">
            <w:pPr>
              <w:snapToGrid w:val="0"/>
              <w:jc w:val="center"/>
              <w:rPr>
                <w:rFonts w:ascii="宋体" w:hAnsi="宋体"/>
                <w:color w:val="000000"/>
                <w:szCs w:val="21"/>
              </w:rPr>
            </w:pPr>
            <w:r>
              <w:rPr>
                <w:rFonts w:hint="eastAsia" w:ascii="宋体" w:hAnsi="宋体"/>
                <w:color w:val="000000"/>
                <w:szCs w:val="21"/>
              </w:rPr>
              <w:t>第（ ）页-（ ）页</w:t>
            </w:r>
          </w:p>
        </w:tc>
      </w:tr>
      <w:tr w14:paraId="1C3C8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000" w:type="pct"/>
            <w:gridSpan w:val="6"/>
            <w:tcBorders>
              <w:top w:val="single" w:color="auto" w:sz="12" w:space="0"/>
              <w:left w:val="single" w:color="auto" w:sz="12" w:space="0"/>
              <w:bottom w:val="single" w:color="auto" w:sz="6" w:space="0"/>
              <w:right w:val="single" w:color="auto" w:sz="12" w:space="0"/>
            </w:tcBorders>
            <w:vAlign w:val="center"/>
          </w:tcPr>
          <w:p w14:paraId="3D68F617">
            <w:pPr>
              <w:adjustRightInd w:val="0"/>
              <w:snapToGrid w:val="0"/>
              <w:jc w:val="center"/>
              <w:textAlignment w:val="baseline"/>
              <w:rPr>
                <w:rFonts w:ascii="宋体" w:hAnsi="宋体"/>
                <w:b/>
                <w:color w:val="000000"/>
                <w:szCs w:val="21"/>
              </w:rPr>
            </w:pPr>
            <w:r>
              <w:rPr>
                <w:rFonts w:hint="eastAsia" w:ascii="宋体" w:hAnsi="宋体"/>
                <w:b/>
                <w:color w:val="000000"/>
                <w:szCs w:val="21"/>
              </w:rPr>
              <w:t>价格评审自查表</w:t>
            </w:r>
          </w:p>
        </w:tc>
      </w:tr>
      <w:tr w14:paraId="4BBB1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16" w:type="pct"/>
            <w:gridSpan w:val="2"/>
            <w:tcBorders>
              <w:top w:val="single" w:color="auto" w:sz="6" w:space="0"/>
              <w:left w:val="single" w:color="auto" w:sz="12" w:space="0"/>
              <w:bottom w:val="single" w:color="auto" w:sz="6" w:space="0"/>
              <w:right w:val="single" w:color="auto" w:sz="6" w:space="0"/>
            </w:tcBorders>
            <w:vAlign w:val="center"/>
          </w:tcPr>
          <w:p w14:paraId="567833D3">
            <w:pPr>
              <w:snapToGrid w:val="0"/>
              <w:jc w:val="center"/>
              <w:rPr>
                <w:rFonts w:ascii="宋体" w:hAnsi="宋体"/>
                <w:b/>
                <w:color w:val="000000"/>
                <w:szCs w:val="21"/>
              </w:rPr>
            </w:pPr>
            <w:r>
              <w:rPr>
                <w:rFonts w:hint="eastAsia" w:ascii="宋体" w:hAnsi="宋体"/>
                <w:b/>
                <w:color w:val="000000"/>
                <w:szCs w:val="21"/>
              </w:rPr>
              <w:t>序号</w:t>
            </w:r>
          </w:p>
        </w:tc>
        <w:tc>
          <w:tcPr>
            <w:tcW w:w="2619" w:type="pct"/>
            <w:gridSpan w:val="2"/>
            <w:tcBorders>
              <w:top w:val="single" w:color="auto" w:sz="6" w:space="0"/>
              <w:left w:val="single" w:color="auto" w:sz="6" w:space="0"/>
              <w:bottom w:val="single" w:color="auto" w:sz="6" w:space="0"/>
              <w:right w:val="single" w:color="auto" w:sz="6" w:space="0"/>
            </w:tcBorders>
            <w:vAlign w:val="center"/>
          </w:tcPr>
          <w:p w14:paraId="7E9A1311">
            <w:pPr>
              <w:snapToGrid w:val="0"/>
              <w:jc w:val="center"/>
              <w:rPr>
                <w:rFonts w:ascii="宋体" w:hAnsi="宋体"/>
                <w:b/>
                <w:color w:val="000000"/>
                <w:szCs w:val="21"/>
              </w:rPr>
            </w:pPr>
            <w:r>
              <w:rPr>
                <w:rFonts w:hint="eastAsia" w:ascii="宋体" w:hAnsi="宋体"/>
                <w:b/>
                <w:color w:val="000000"/>
                <w:szCs w:val="21"/>
              </w:rPr>
              <w:t>文件要求</w:t>
            </w:r>
          </w:p>
        </w:tc>
        <w:tc>
          <w:tcPr>
            <w:tcW w:w="1165" w:type="pct"/>
            <w:gridSpan w:val="2"/>
            <w:tcBorders>
              <w:top w:val="single" w:color="auto" w:sz="6" w:space="0"/>
              <w:left w:val="single" w:color="auto" w:sz="6" w:space="0"/>
              <w:bottom w:val="single" w:color="auto" w:sz="6" w:space="0"/>
              <w:right w:val="single" w:color="auto" w:sz="12" w:space="0"/>
            </w:tcBorders>
            <w:vAlign w:val="center"/>
          </w:tcPr>
          <w:p w14:paraId="2751F2BA">
            <w:pPr>
              <w:snapToGrid w:val="0"/>
              <w:jc w:val="center"/>
              <w:rPr>
                <w:rFonts w:ascii="宋体" w:hAnsi="宋体"/>
                <w:b/>
                <w:color w:val="000000"/>
                <w:szCs w:val="21"/>
              </w:rPr>
            </w:pPr>
            <w:r>
              <w:rPr>
                <w:rFonts w:hint="eastAsia" w:ascii="宋体" w:hAnsi="宋体"/>
                <w:b/>
                <w:color w:val="000000"/>
                <w:szCs w:val="21"/>
              </w:rPr>
              <w:t>证明文件</w:t>
            </w:r>
          </w:p>
        </w:tc>
      </w:tr>
      <w:tr w14:paraId="6CA02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16" w:type="pct"/>
            <w:gridSpan w:val="2"/>
            <w:tcBorders>
              <w:top w:val="single" w:color="auto" w:sz="6" w:space="0"/>
              <w:left w:val="single" w:color="auto" w:sz="12" w:space="0"/>
              <w:bottom w:val="single" w:color="auto" w:sz="6" w:space="0"/>
              <w:right w:val="single" w:color="auto" w:sz="6" w:space="0"/>
            </w:tcBorders>
            <w:vAlign w:val="center"/>
          </w:tcPr>
          <w:p w14:paraId="655AD3E2">
            <w:pPr>
              <w:numPr>
                <w:ilvl w:val="0"/>
                <w:numId w:val="29"/>
              </w:numPr>
              <w:adjustRightInd w:val="0"/>
              <w:snapToGrid w:val="0"/>
              <w:ind w:left="0" w:firstLine="0"/>
              <w:jc w:val="center"/>
              <w:textAlignment w:val="baseline"/>
              <w:rPr>
                <w:rFonts w:ascii="宋体" w:hAnsi="宋体"/>
                <w:color w:val="000000"/>
                <w:szCs w:val="21"/>
              </w:rPr>
            </w:pPr>
          </w:p>
        </w:tc>
        <w:tc>
          <w:tcPr>
            <w:tcW w:w="2619" w:type="pct"/>
            <w:gridSpan w:val="2"/>
            <w:tcBorders>
              <w:top w:val="single" w:color="auto" w:sz="6" w:space="0"/>
              <w:left w:val="single" w:color="auto" w:sz="6" w:space="0"/>
              <w:bottom w:val="single" w:color="auto" w:sz="6" w:space="0"/>
              <w:right w:val="single" w:color="auto" w:sz="6" w:space="0"/>
            </w:tcBorders>
            <w:vAlign w:val="center"/>
          </w:tcPr>
          <w:p w14:paraId="4FEC5260">
            <w:pPr>
              <w:snapToGrid w:val="0"/>
              <w:jc w:val="center"/>
              <w:rPr>
                <w:rFonts w:ascii="宋体" w:hAnsi="宋体"/>
                <w:color w:val="000000"/>
                <w:szCs w:val="21"/>
              </w:rPr>
            </w:pPr>
            <w:r>
              <w:rPr>
                <w:rFonts w:hint="eastAsia" w:ascii="宋体" w:hAnsi="宋体"/>
                <w:color w:val="000000"/>
                <w:szCs w:val="21"/>
              </w:rPr>
              <w:t>报价表</w:t>
            </w:r>
          </w:p>
        </w:tc>
        <w:tc>
          <w:tcPr>
            <w:tcW w:w="1165" w:type="pct"/>
            <w:gridSpan w:val="2"/>
            <w:tcBorders>
              <w:top w:val="single" w:color="auto" w:sz="6" w:space="0"/>
              <w:left w:val="single" w:color="auto" w:sz="6" w:space="0"/>
              <w:bottom w:val="single" w:color="auto" w:sz="6" w:space="0"/>
              <w:right w:val="single" w:color="auto" w:sz="12" w:space="0"/>
            </w:tcBorders>
            <w:vAlign w:val="center"/>
          </w:tcPr>
          <w:p w14:paraId="36271C0E">
            <w:pPr>
              <w:snapToGrid w:val="0"/>
              <w:jc w:val="center"/>
              <w:rPr>
                <w:rFonts w:ascii="宋体" w:hAnsi="宋体"/>
                <w:color w:val="000000"/>
                <w:szCs w:val="21"/>
              </w:rPr>
            </w:pPr>
            <w:r>
              <w:rPr>
                <w:rFonts w:hint="eastAsia" w:ascii="宋体" w:hAnsi="宋体"/>
                <w:color w:val="000000"/>
                <w:szCs w:val="21"/>
              </w:rPr>
              <w:t>第（）页</w:t>
            </w:r>
          </w:p>
        </w:tc>
      </w:tr>
    </w:tbl>
    <w:p w14:paraId="4D4FE579">
      <w:pPr>
        <w:jc w:val="center"/>
        <w:rPr>
          <w:rFonts w:ascii="宋体" w:hAnsi="宋体"/>
          <w:b/>
          <w:sz w:val="28"/>
          <w:szCs w:val="28"/>
        </w:rPr>
      </w:pPr>
    </w:p>
    <w:p w14:paraId="361D9621">
      <w:pPr>
        <w:keepNext/>
        <w:keepLines/>
        <w:spacing w:before="260" w:line="415" w:lineRule="auto"/>
        <w:jc w:val="center"/>
        <w:outlineLvl w:val="1"/>
        <w:rPr>
          <w:rFonts w:ascii="宋体" w:hAnsi="宋体"/>
          <w:b/>
          <w:bCs/>
          <w:sz w:val="32"/>
          <w:szCs w:val="32"/>
        </w:rPr>
      </w:pPr>
      <w:r>
        <w:rPr>
          <w:rFonts w:hint="eastAsia" w:ascii="宋体" w:hAnsi="宋体"/>
          <w:b/>
          <w:bCs/>
          <w:sz w:val="32"/>
          <w:szCs w:val="32"/>
        </w:rPr>
        <w:t>技术、商务评审目录</w:t>
      </w:r>
    </w:p>
    <w:tbl>
      <w:tblPr>
        <w:tblStyle w:val="17"/>
        <w:tblW w:w="518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9"/>
        <w:gridCol w:w="3261"/>
        <w:gridCol w:w="2693"/>
        <w:gridCol w:w="2198"/>
      </w:tblGrid>
      <w:tr w14:paraId="1A8A9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5F8FBC59">
            <w:pPr>
              <w:snapToGrid w:val="0"/>
              <w:jc w:val="center"/>
              <w:rPr>
                <w:rFonts w:ascii="宋体" w:hAnsi="宋体" w:cs="宋体"/>
                <w:b/>
                <w:szCs w:val="21"/>
              </w:rPr>
            </w:pPr>
            <w:r>
              <w:rPr>
                <w:rFonts w:hint="eastAsia" w:ascii="宋体" w:hAnsi="宋体" w:cs="宋体"/>
                <w:b/>
                <w:szCs w:val="21"/>
              </w:rPr>
              <w:t>序号</w:t>
            </w:r>
          </w:p>
        </w:tc>
        <w:tc>
          <w:tcPr>
            <w:tcW w:w="1844" w:type="pct"/>
            <w:vAlign w:val="center"/>
          </w:tcPr>
          <w:p w14:paraId="3DEE2084">
            <w:pPr>
              <w:snapToGrid w:val="0"/>
              <w:jc w:val="center"/>
              <w:rPr>
                <w:rFonts w:ascii="宋体" w:hAnsi="宋体" w:cs="宋体"/>
                <w:b/>
                <w:szCs w:val="21"/>
              </w:rPr>
            </w:pPr>
            <w:r>
              <w:rPr>
                <w:rFonts w:hint="eastAsia" w:ascii="宋体" w:hAnsi="宋体" w:cs="宋体"/>
                <w:b/>
                <w:szCs w:val="21"/>
              </w:rPr>
              <w:t>评审因素</w:t>
            </w:r>
          </w:p>
        </w:tc>
        <w:tc>
          <w:tcPr>
            <w:tcW w:w="1523" w:type="pct"/>
            <w:vAlign w:val="center"/>
          </w:tcPr>
          <w:p w14:paraId="503D30E1">
            <w:pPr>
              <w:snapToGrid w:val="0"/>
              <w:jc w:val="center"/>
              <w:rPr>
                <w:rFonts w:ascii="宋体" w:hAnsi="宋体" w:cs="宋体"/>
                <w:b/>
                <w:szCs w:val="21"/>
              </w:rPr>
            </w:pPr>
            <w:r>
              <w:rPr>
                <w:rFonts w:hint="eastAsia" w:ascii="宋体" w:hAnsi="宋体" w:cs="宋体"/>
                <w:b/>
                <w:szCs w:val="21"/>
              </w:rPr>
              <w:t>提交内容</w:t>
            </w:r>
          </w:p>
        </w:tc>
        <w:tc>
          <w:tcPr>
            <w:tcW w:w="1243" w:type="pct"/>
            <w:vAlign w:val="center"/>
          </w:tcPr>
          <w:p w14:paraId="66F2A809">
            <w:pPr>
              <w:snapToGrid w:val="0"/>
              <w:jc w:val="center"/>
              <w:rPr>
                <w:rFonts w:ascii="宋体" w:hAnsi="宋体" w:cs="宋体"/>
                <w:b/>
                <w:szCs w:val="21"/>
              </w:rPr>
            </w:pPr>
            <w:r>
              <w:rPr>
                <w:rFonts w:hint="eastAsia" w:ascii="宋体" w:hAnsi="宋体" w:cs="宋体"/>
                <w:b/>
                <w:szCs w:val="21"/>
              </w:rPr>
              <w:t>证明文件</w:t>
            </w:r>
          </w:p>
        </w:tc>
      </w:tr>
      <w:tr w14:paraId="12BB8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000" w:type="pct"/>
            <w:gridSpan w:val="4"/>
            <w:vAlign w:val="center"/>
          </w:tcPr>
          <w:p w14:paraId="312B7B9A">
            <w:pPr>
              <w:snapToGrid w:val="0"/>
              <w:jc w:val="center"/>
              <w:rPr>
                <w:rFonts w:ascii="宋体" w:hAnsi="宋体" w:cs="宋体"/>
                <w:b/>
                <w:bCs/>
                <w:sz w:val="24"/>
              </w:rPr>
            </w:pPr>
            <w:r>
              <w:rPr>
                <w:rFonts w:hint="eastAsia" w:ascii="宋体" w:hAnsi="宋体" w:cs="宋体"/>
                <w:b/>
                <w:bCs/>
                <w:szCs w:val="20"/>
              </w:rPr>
              <w:t>技术评审</w:t>
            </w:r>
          </w:p>
        </w:tc>
      </w:tr>
      <w:tr w14:paraId="4C2A6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6FFC2A7E">
            <w:pPr>
              <w:numPr>
                <w:ilvl w:val="0"/>
                <w:numId w:val="30"/>
              </w:numPr>
              <w:adjustRightInd w:val="0"/>
              <w:snapToGrid w:val="0"/>
              <w:ind w:left="0" w:firstLine="0"/>
              <w:jc w:val="center"/>
              <w:textAlignment w:val="baseline"/>
              <w:rPr>
                <w:rFonts w:ascii="宋体" w:hAnsi="宋体" w:cs="宋体"/>
                <w:szCs w:val="21"/>
              </w:rPr>
            </w:pPr>
          </w:p>
        </w:tc>
        <w:tc>
          <w:tcPr>
            <w:tcW w:w="1844" w:type="pct"/>
            <w:vAlign w:val="center"/>
          </w:tcPr>
          <w:p w14:paraId="6CE0DDBB">
            <w:pPr>
              <w:spacing w:line="360" w:lineRule="auto"/>
              <w:jc w:val="center"/>
              <w:rPr>
                <w:rFonts w:ascii="宋体" w:hAnsi="宋体" w:cs="宋体"/>
                <w:szCs w:val="21"/>
              </w:rPr>
            </w:pPr>
            <w:r>
              <w:rPr>
                <w:rFonts w:hint="eastAsia" w:asciiTheme="minorEastAsia" w:hAnsiTheme="minorEastAsia" w:eastAsiaTheme="minorEastAsia" w:cstheme="minorEastAsia"/>
                <w:szCs w:val="21"/>
              </w:rPr>
              <w:t>系统优化升级要求响应情况</w:t>
            </w:r>
          </w:p>
        </w:tc>
        <w:tc>
          <w:tcPr>
            <w:tcW w:w="1523" w:type="pct"/>
            <w:vAlign w:val="center"/>
          </w:tcPr>
          <w:p w14:paraId="39489D97">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2114C49F">
            <w:pPr>
              <w:snapToGrid w:val="0"/>
              <w:jc w:val="center"/>
              <w:rPr>
                <w:rFonts w:ascii="宋体" w:hAnsi="宋体" w:cs="宋体"/>
                <w:szCs w:val="20"/>
              </w:rPr>
            </w:pPr>
            <w:r>
              <w:rPr>
                <w:rFonts w:hint="eastAsia" w:ascii="宋体" w:hAnsi="宋体" w:cs="宋体"/>
                <w:szCs w:val="20"/>
              </w:rPr>
              <w:t>第（ ）页-（ ）页</w:t>
            </w:r>
          </w:p>
        </w:tc>
      </w:tr>
      <w:tr w14:paraId="7C388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293BC908">
            <w:pPr>
              <w:numPr>
                <w:ilvl w:val="0"/>
                <w:numId w:val="30"/>
              </w:numPr>
              <w:adjustRightInd w:val="0"/>
              <w:snapToGrid w:val="0"/>
              <w:ind w:left="0" w:firstLine="0"/>
              <w:jc w:val="center"/>
              <w:textAlignment w:val="baseline"/>
              <w:rPr>
                <w:rFonts w:ascii="宋体" w:hAnsi="宋体" w:cs="宋体"/>
                <w:szCs w:val="21"/>
              </w:rPr>
            </w:pPr>
          </w:p>
        </w:tc>
        <w:tc>
          <w:tcPr>
            <w:tcW w:w="1844" w:type="pct"/>
            <w:vAlign w:val="center"/>
          </w:tcPr>
          <w:p w14:paraId="189BAA9E">
            <w:pPr>
              <w:spacing w:line="360" w:lineRule="auto"/>
              <w:jc w:val="center"/>
              <w:rPr>
                <w:rFonts w:ascii="宋体" w:hAnsi="宋体" w:cs="宋体"/>
                <w:szCs w:val="21"/>
              </w:rPr>
            </w:pPr>
            <w:r>
              <w:rPr>
                <w:rFonts w:hint="eastAsia" w:ascii="宋体" w:hAnsi="宋体" w:cs="宋体"/>
              </w:rPr>
              <w:t>日常运维及技术保障方案</w:t>
            </w:r>
          </w:p>
        </w:tc>
        <w:tc>
          <w:tcPr>
            <w:tcW w:w="1523" w:type="pct"/>
            <w:vAlign w:val="center"/>
          </w:tcPr>
          <w:p w14:paraId="5D16821B">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43CB5135">
            <w:pPr>
              <w:snapToGrid w:val="0"/>
              <w:jc w:val="center"/>
              <w:rPr>
                <w:rFonts w:ascii="宋体" w:hAnsi="宋体" w:cs="宋体"/>
                <w:szCs w:val="20"/>
              </w:rPr>
            </w:pPr>
            <w:r>
              <w:rPr>
                <w:rFonts w:hint="eastAsia" w:ascii="宋体" w:hAnsi="宋体" w:cs="宋体"/>
                <w:szCs w:val="20"/>
              </w:rPr>
              <w:t>第（ ）页-（ ）页</w:t>
            </w:r>
          </w:p>
        </w:tc>
      </w:tr>
      <w:tr w14:paraId="42ADB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606922DC">
            <w:pPr>
              <w:numPr>
                <w:ilvl w:val="0"/>
                <w:numId w:val="30"/>
              </w:numPr>
              <w:adjustRightInd w:val="0"/>
              <w:snapToGrid w:val="0"/>
              <w:ind w:left="0" w:firstLine="0"/>
              <w:jc w:val="center"/>
              <w:textAlignment w:val="baseline"/>
              <w:rPr>
                <w:rFonts w:ascii="宋体" w:hAnsi="宋体" w:cs="宋体"/>
                <w:szCs w:val="21"/>
              </w:rPr>
            </w:pPr>
          </w:p>
        </w:tc>
        <w:tc>
          <w:tcPr>
            <w:tcW w:w="1844" w:type="pct"/>
            <w:vAlign w:val="center"/>
          </w:tcPr>
          <w:p w14:paraId="6B3DB2E9">
            <w:pPr>
              <w:spacing w:line="360" w:lineRule="auto"/>
              <w:jc w:val="center"/>
              <w:rPr>
                <w:rFonts w:ascii="宋体" w:hAnsi="宋体" w:cs="宋体"/>
                <w:szCs w:val="21"/>
              </w:rPr>
            </w:pPr>
            <w:r>
              <w:rPr>
                <w:rFonts w:hint="eastAsia" w:asciiTheme="minorEastAsia" w:hAnsiTheme="minorEastAsia" w:eastAsiaTheme="minorEastAsia" w:cstheme="minorEastAsia"/>
                <w:szCs w:val="21"/>
              </w:rPr>
              <w:t>项目人员配置</w:t>
            </w:r>
          </w:p>
        </w:tc>
        <w:tc>
          <w:tcPr>
            <w:tcW w:w="1523" w:type="pct"/>
            <w:vAlign w:val="center"/>
          </w:tcPr>
          <w:p w14:paraId="63F9B115">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60194B21">
            <w:pPr>
              <w:snapToGrid w:val="0"/>
              <w:jc w:val="center"/>
              <w:rPr>
                <w:rFonts w:ascii="宋体" w:hAnsi="宋体" w:cs="宋体"/>
                <w:szCs w:val="20"/>
              </w:rPr>
            </w:pPr>
            <w:r>
              <w:rPr>
                <w:rFonts w:hint="eastAsia" w:ascii="宋体" w:hAnsi="宋体" w:cs="宋体"/>
                <w:szCs w:val="20"/>
              </w:rPr>
              <w:t>第（ ）页-（ ）页</w:t>
            </w:r>
          </w:p>
        </w:tc>
      </w:tr>
      <w:tr w14:paraId="3DDE3F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000" w:type="pct"/>
            <w:gridSpan w:val="4"/>
            <w:vAlign w:val="center"/>
          </w:tcPr>
          <w:p w14:paraId="31648900">
            <w:pPr>
              <w:snapToGrid w:val="0"/>
              <w:jc w:val="center"/>
              <w:rPr>
                <w:rFonts w:ascii="宋体" w:hAnsi="宋体" w:cs="宋体"/>
                <w:sz w:val="24"/>
              </w:rPr>
            </w:pPr>
            <w:r>
              <w:rPr>
                <w:rFonts w:hint="eastAsia" w:ascii="宋体" w:hAnsi="宋体" w:cs="宋体"/>
                <w:b/>
                <w:szCs w:val="21"/>
              </w:rPr>
              <w:t>商务评审</w:t>
            </w:r>
          </w:p>
        </w:tc>
      </w:tr>
      <w:tr w14:paraId="28CE5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40202D08">
            <w:pPr>
              <w:numPr>
                <w:ilvl w:val="0"/>
                <w:numId w:val="31"/>
              </w:numPr>
              <w:adjustRightInd w:val="0"/>
              <w:snapToGrid w:val="0"/>
              <w:ind w:left="0" w:firstLine="0"/>
              <w:jc w:val="center"/>
              <w:textAlignment w:val="baseline"/>
              <w:rPr>
                <w:rFonts w:ascii="宋体" w:hAnsi="宋体" w:cs="宋体"/>
                <w:sz w:val="24"/>
              </w:rPr>
            </w:pPr>
          </w:p>
        </w:tc>
        <w:tc>
          <w:tcPr>
            <w:tcW w:w="1844" w:type="pct"/>
            <w:vAlign w:val="center"/>
          </w:tcPr>
          <w:p w14:paraId="43974A94">
            <w:pPr>
              <w:spacing w:line="360" w:lineRule="auto"/>
              <w:jc w:val="center"/>
              <w:rPr>
                <w:rFonts w:ascii="宋体" w:cs="宋体"/>
                <w:szCs w:val="21"/>
              </w:rPr>
            </w:pPr>
            <w:r>
              <w:rPr>
                <w:rFonts w:hint="eastAsia" w:asciiTheme="minorEastAsia" w:hAnsiTheme="minorEastAsia" w:eastAsiaTheme="minorEastAsia" w:cstheme="minorEastAsia"/>
                <w:bCs/>
                <w:szCs w:val="21"/>
              </w:rPr>
              <w:t>企业资质</w:t>
            </w:r>
          </w:p>
        </w:tc>
        <w:tc>
          <w:tcPr>
            <w:tcW w:w="1523" w:type="pct"/>
            <w:vAlign w:val="center"/>
          </w:tcPr>
          <w:p w14:paraId="0E44D031">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7031BB24">
            <w:pPr>
              <w:snapToGrid w:val="0"/>
              <w:jc w:val="center"/>
              <w:rPr>
                <w:rFonts w:ascii="宋体" w:hAnsi="宋体" w:cs="宋体"/>
                <w:szCs w:val="20"/>
              </w:rPr>
            </w:pPr>
            <w:r>
              <w:rPr>
                <w:rFonts w:hint="eastAsia" w:ascii="宋体" w:hAnsi="宋体" w:cs="宋体"/>
                <w:szCs w:val="20"/>
              </w:rPr>
              <w:t>第（ ）页-（ ）页</w:t>
            </w:r>
          </w:p>
        </w:tc>
      </w:tr>
      <w:tr w14:paraId="3730F3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55EE459A">
            <w:pPr>
              <w:numPr>
                <w:ilvl w:val="0"/>
                <w:numId w:val="31"/>
              </w:numPr>
              <w:adjustRightInd w:val="0"/>
              <w:snapToGrid w:val="0"/>
              <w:ind w:left="0" w:firstLine="0"/>
              <w:jc w:val="center"/>
              <w:textAlignment w:val="baseline"/>
              <w:rPr>
                <w:rFonts w:ascii="宋体" w:hAnsi="宋体" w:cs="宋体"/>
                <w:sz w:val="24"/>
              </w:rPr>
            </w:pPr>
          </w:p>
        </w:tc>
        <w:tc>
          <w:tcPr>
            <w:tcW w:w="1844" w:type="pct"/>
            <w:vAlign w:val="center"/>
          </w:tcPr>
          <w:p w14:paraId="111A6644">
            <w:pPr>
              <w:spacing w:line="360" w:lineRule="auto"/>
              <w:jc w:val="center"/>
              <w:rPr>
                <w:rFonts w:ascii="宋体" w:cs="宋体"/>
                <w:szCs w:val="21"/>
              </w:rPr>
            </w:pPr>
            <w:r>
              <w:rPr>
                <w:rFonts w:hint="eastAsia" w:asciiTheme="minorEastAsia" w:hAnsiTheme="minorEastAsia" w:eastAsiaTheme="minorEastAsia" w:cstheme="minorEastAsia"/>
                <w:bCs/>
                <w:szCs w:val="21"/>
              </w:rPr>
              <w:t>业绩经验</w:t>
            </w:r>
          </w:p>
        </w:tc>
        <w:tc>
          <w:tcPr>
            <w:tcW w:w="1523" w:type="pct"/>
            <w:vAlign w:val="center"/>
          </w:tcPr>
          <w:p w14:paraId="72EC1FE5">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57DB2FF8">
            <w:pPr>
              <w:snapToGrid w:val="0"/>
              <w:jc w:val="center"/>
              <w:rPr>
                <w:rFonts w:ascii="宋体" w:hAnsi="宋体" w:cs="宋体"/>
                <w:szCs w:val="20"/>
              </w:rPr>
            </w:pPr>
            <w:r>
              <w:rPr>
                <w:rFonts w:hint="eastAsia" w:ascii="宋体" w:hAnsi="宋体" w:cs="宋体"/>
                <w:szCs w:val="20"/>
              </w:rPr>
              <w:t>第（ ）页-（ ）页</w:t>
            </w:r>
          </w:p>
        </w:tc>
      </w:tr>
      <w:tr w14:paraId="0F4B13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008883C1">
            <w:pPr>
              <w:numPr>
                <w:ilvl w:val="0"/>
                <w:numId w:val="31"/>
              </w:numPr>
              <w:adjustRightInd w:val="0"/>
              <w:snapToGrid w:val="0"/>
              <w:ind w:left="0" w:firstLine="0"/>
              <w:jc w:val="center"/>
              <w:textAlignment w:val="baseline"/>
              <w:rPr>
                <w:rFonts w:ascii="宋体" w:hAnsi="宋体" w:cs="宋体"/>
                <w:sz w:val="24"/>
              </w:rPr>
            </w:pPr>
          </w:p>
        </w:tc>
        <w:tc>
          <w:tcPr>
            <w:tcW w:w="1844" w:type="pct"/>
            <w:vAlign w:val="center"/>
          </w:tcPr>
          <w:p w14:paraId="08B17D00">
            <w:pPr>
              <w:spacing w:line="360" w:lineRule="auto"/>
              <w:jc w:val="center"/>
              <w:rPr>
                <w:rFonts w:ascii="宋体" w:hAnsi="宋体" w:cs="宋体"/>
                <w:color w:val="000000"/>
                <w:kern w:val="0"/>
                <w:szCs w:val="21"/>
              </w:rPr>
            </w:pPr>
            <w:r>
              <w:rPr>
                <w:rFonts w:hint="eastAsia" w:asciiTheme="minorEastAsia" w:hAnsiTheme="minorEastAsia" w:eastAsiaTheme="minorEastAsia" w:cstheme="minorEastAsia"/>
                <w:szCs w:val="21"/>
              </w:rPr>
              <w:t>自主知识产权</w:t>
            </w:r>
          </w:p>
        </w:tc>
        <w:tc>
          <w:tcPr>
            <w:tcW w:w="1523" w:type="pct"/>
            <w:vAlign w:val="center"/>
          </w:tcPr>
          <w:p w14:paraId="53DF7CDE">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3597BD25">
            <w:pPr>
              <w:snapToGrid w:val="0"/>
              <w:jc w:val="center"/>
              <w:rPr>
                <w:rFonts w:ascii="宋体" w:hAnsi="宋体" w:cs="宋体"/>
                <w:szCs w:val="20"/>
              </w:rPr>
            </w:pPr>
            <w:r>
              <w:rPr>
                <w:rFonts w:hint="eastAsia" w:ascii="宋体" w:hAnsi="宋体" w:cs="宋体"/>
                <w:szCs w:val="20"/>
              </w:rPr>
              <w:t>第（ ）页-（ ）页</w:t>
            </w:r>
          </w:p>
        </w:tc>
      </w:tr>
      <w:tr w14:paraId="2DE8D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90" w:type="pct"/>
            <w:vAlign w:val="center"/>
          </w:tcPr>
          <w:p w14:paraId="11C935E6">
            <w:pPr>
              <w:numPr>
                <w:ilvl w:val="0"/>
                <w:numId w:val="31"/>
              </w:numPr>
              <w:adjustRightInd w:val="0"/>
              <w:snapToGrid w:val="0"/>
              <w:ind w:left="0" w:firstLine="0"/>
              <w:jc w:val="center"/>
              <w:textAlignment w:val="baseline"/>
              <w:rPr>
                <w:rFonts w:ascii="宋体" w:hAnsi="宋体" w:cs="宋体"/>
                <w:sz w:val="24"/>
              </w:rPr>
            </w:pPr>
          </w:p>
        </w:tc>
        <w:tc>
          <w:tcPr>
            <w:tcW w:w="1844" w:type="pct"/>
            <w:vAlign w:val="center"/>
          </w:tcPr>
          <w:p w14:paraId="1FC87771">
            <w:pPr>
              <w:spacing w:line="360" w:lineRule="auto"/>
              <w:jc w:val="center"/>
              <w:rPr>
                <w:rFonts w:ascii="宋体" w:hAnsi="宋体" w:cs="宋体"/>
                <w:color w:val="000000"/>
                <w:kern w:val="0"/>
                <w:szCs w:val="21"/>
              </w:rPr>
            </w:pPr>
            <w:r>
              <w:rPr>
                <w:rFonts w:hint="eastAsia" w:ascii="宋体" w:hAnsi="宋体"/>
              </w:rPr>
              <w:t>安全服务保障措施</w:t>
            </w:r>
          </w:p>
        </w:tc>
        <w:tc>
          <w:tcPr>
            <w:tcW w:w="1523" w:type="pct"/>
            <w:vAlign w:val="center"/>
          </w:tcPr>
          <w:p w14:paraId="4CB2D810">
            <w:pPr>
              <w:snapToGrid w:val="0"/>
              <w:jc w:val="center"/>
              <w:rPr>
                <w:rFonts w:ascii="宋体" w:hAnsi="宋体" w:cs="宋体"/>
                <w:szCs w:val="21"/>
              </w:rPr>
            </w:pPr>
            <w:r>
              <w:rPr>
                <w:rFonts w:hint="eastAsia" w:ascii="宋体" w:hAnsi="宋体" w:cs="宋体"/>
                <w:szCs w:val="21"/>
              </w:rPr>
              <w:t>供应商提供相关材料</w:t>
            </w:r>
          </w:p>
        </w:tc>
        <w:tc>
          <w:tcPr>
            <w:tcW w:w="1243" w:type="pct"/>
            <w:vAlign w:val="center"/>
          </w:tcPr>
          <w:p w14:paraId="4ABC1838">
            <w:pPr>
              <w:snapToGrid w:val="0"/>
              <w:jc w:val="center"/>
              <w:rPr>
                <w:rFonts w:ascii="宋体" w:hAnsi="宋体" w:cs="宋体"/>
                <w:szCs w:val="20"/>
              </w:rPr>
            </w:pPr>
            <w:r>
              <w:rPr>
                <w:rFonts w:hint="eastAsia" w:ascii="宋体" w:hAnsi="宋体" w:cs="宋体"/>
                <w:szCs w:val="20"/>
              </w:rPr>
              <w:t>第（ ）页-（ ）页</w:t>
            </w:r>
          </w:p>
        </w:tc>
      </w:tr>
    </w:tbl>
    <w:p w14:paraId="7FB56393">
      <w:pPr>
        <w:spacing w:line="360" w:lineRule="auto"/>
        <w:jc w:val="left"/>
        <w:rPr>
          <w:rFonts w:ascii="宋体" w:hAnsi="宋体"/>
          <w:color w:val="000000"/>
          <w:szCs w:val="21"/>
          <w:lang w:val="zh-CN"/>
        </w:rPr>
      </w:pPr>
      <w:r>
        <w:rPr>
          <w:rFonts w:hint="eastAsia" w:ascii="宋体" w:hAnsi="宋体"/>
          <w:color w:val="000000"/>
          <w:szCs w:val="21"/>
          <w:lang w:val="zh-CN"/>
        </w:rPr>
        <w:t>以上内容与用户需求的综合评分表内容不一致的，以用户需求内容为准。</w:t>
      </w:r>
    </w:p>
    <w:p w14:paraId="677CF08D">
      <w:pPr>
        <w:keepNext/>
        <w:keepLines/>
        <w:spacing w:before="260" w:after="260" w:line="416" w:lineRule="auto"/>
        <w:jc w:val="center"/>
        <w:outlineLvl w:val="1"/>
        <w:rPr>
          <w:rFonts w:ascii="宋体" w:hAnsi="宋体"/>
          <w:b/>
          <w:bCs/>
          <w:sz w:val="32"/>
          <w:szCs w:val="32"/>
        </w:rPr>
      </w:pPr>
      <w:r>
        <w:rPr>
          <w:rFonts w:ascii="宋体" w:hAnsi="宋体"/>
          <w:b/>
          <w:bCs/>
          <w:sz w:val="32"/>
          <w:szCs w:val="32"/>
        </w:rPr>
        <w:br w:type="page"/>
      </w:r>
      <w:r>
        <w:rPr>
          <w:rFonts w:ascii="宋体" w:hAnsi="宋体"/>
          <w:b/>
          <w:bCs/>
          <w:sz w:val="32"/>
          <w:szCs w:val="32"/>
        </w:rPr>
        <w:t>报价表</w:t>
      </w:r>
    </w:p>
    <w:tbl>
      <w:tblPr>
        <w:tblStyle w:val="17"/>
        <w:tblW w:w="51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965"/>
        <w:gridCol w:w="2580"/>
        <w:gridCol w:w="1842"/>
        <w:gridCol w:w="1042"/>
      </w:tblGrid>
      <w:tr w14:paraId="4432E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4" w:type="pct"/>
            <w:shd w:val="clear" w:color="auto" w:fill="auto"/>
            <w:vAlign w:val="center"/>
          </w:tcPr>
          <w:p w14:paraId="30CD0361">
            <w:pPr>
              <w:adjustRightInd w:val="0"/>
              <w:snapToGrid w:val="0"/>
              <w:jc w:val="center"/>
              <w:rPr>
                <w:rFonts w:ascii="宋体" w:hAnsi="宋体" w:cs="宋体"/>
                <w:b/>
                <w:color w:val="000000"/>
                <w:szCs w:val="21"/>
              </w:rPr>
            </w:pPr>
            <w:r>
              <w:rPr>
                <w:rFonts w:hint="eastAsia" w:ascii="宋体" w:hAnsi="宋体" w:cs="宋体"/>
                <w:b/>
                <w:color w:val="000000"/>
                <w:szCs w:val="21"/>
              </w:rPr>
              <w:t>项目名称</w:t>
            </w:r>
          </w:p>
        </w:tc>
        <w:tc>
          <w:tcPr>
            <w:tcW w:w="546" w:type="pct"/>
            <w:shd w:val="clear" w:color="auto" w:fill="auto"/>
            <w:vAlign w:val="center"/>
          </w:tcPr>
          <w:p w14:paraId="54205BF6">
            <w:pPr>
              <w:jc w:val="center"/>
              <w:rPr>
                <w:rFonts w:ascii="宋体" w:hAnsi="宋体" w:cs="宋体"/>
                <w:b/>
                <w:color w:val="000000"/>
                <w:szCs w:val="21"/>
              </w:rPr>
            </w:pPr>
            <w:r>
              <w:rPr>
                <w:rFonts w:hint="eastAsia" w:ascii="宋体" w:hAnsi="宋体" w:cs="宋体"/>
                <w:b/>
              </w:rPr>
              <w:t>数量</w:t>
            </w:r>
          </w:p>
        </w:tc>
        <w:tc>
          <w:tcPr>
            <w:tcW w:w="1459" w:type="pct"/>
            <w:shd w:val="clear" w:color="auto" w:fill="auto"/>
            <w:vAlign w:val="center"/>
          </w:tcPr>
          <w:p w14:paraId="3B77526E">
            <w:pPr>
              <w:pStyle w:val="38"/>
              <w:spacing w:before="99"/>
              <w:ind w:left="51" w:right="38"/>
              <w:jc w:val="center"/>
              <w:rPr>
                <w:b/>
                <w:color w:val="000000"/>
                <w:szCs w:val="21"/>
              </w:rPr>
            </w:pPr>
            <w:r>
              <w:rPr>
                <w:rFonts w:hint="eastAsia"/>
                <w:b/>
                <w:color w:val="000000"/>
                <w:lang w:val="en-US"/>
              </w:rPr>
              <w:t>服务</w:t>
            </w:r>
            <w:r>
              <w:rPr>
                <w:rFonts w:hint="eastAsia"/>
                <w:b/>
                <w:color w:val="000000"/>
              </w:rPr>
              <w:t>期</w:t>
            </w:r>
          </w:p>
        </w:tc>
        <w:tc>
          <w:tcPr>
            <w:tcW w:w="1042" w:type="pct"/>
            <w:shd w:val="clear" w:color="auto" w:fill="auto"/>
            <w:vAlign w:val="center"/>
          </w:tcPr>
          <w:p w14:paraId="1F8DC7ED">
            <w:pPr>
              <w:pStyle w:val="38"/>
              <w:spacing w:before="99"/>
              <w:ind w:left="64" w:right="54"/>
              <w:jc w:val="center"/>
              <w:rPr>
                <w:b/>
                <w:szCs w:val="21"/>
                <w:lang w:val="en-US"/>
              </w:rPr>
            </w:pPr>
            <w:r>
              <w:rPr>
                <w:rFonts w:hint="eastAsia"/>
                <w:b/>
                <w:szCs w:val="21"/>
                <w:lang w:val="en-US"/>
              </w:rPr>
              <w:t>总报价（元）</w:t>
            </w:r>
          </w:p>
        </w:tc>
        <w:tc>
          <w:tcPr>
            <w:tcW w:w="590" w:type="pct"/>
            <w:shd w:val="clear" w:color="auto" w:fill="auto"/>
            <w:vAlign w:val="center"/>
          </w:tcPr>
          <w:p w14:paraId="5D80DB8F">
            <w:pPr>
              <w:pStyle w:val="38"/>
              <w:spacing w:before="99"/>
              <w:ind w:left="64" w:right="54"/>
              <w:jc w:val="center"/>
              <w:rPr>
                <w:b/>
                <w:szCs w:val="21"/>
                <w:lang w:val="en-US"/>
              </w:rPr>
            </w:pPr>
            <w:r>
              <w:rPr>
                <w:rFonts w:hint="eastAsia"/>
                <w:b/>
                <w:szCs w:val="21"/>
                <w:lang w:val="en-US"/>
              </w:rPr>
              <w:t>备注</w:t>
            </w:r>
          </w:p>
        </w:tc>
      </w:tr>
      <w:tr w14:paraId="5617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64" w:type="pct"/>
            <w:shd w:val="clear" w:color="auto" w:fill="auto"/>
            <w:vAlign w:val="center"/>
          </w:tcPr>
          <w:p w14:paraId="26365EFE">
            <w:pPr>
              <w:spacing w:line="276" w:lineRule="auto"/>
              <w:jc w:val="center"/>
              <w:rPr>
                <w:rFonts w:ascii="宋体" w:hAnsi="宋体" w:cs="宋体"/>
                <w:b/>
                <w:color w:val="000000"/>
                <w:szCs w:val="21"/>
              </w:rPr>
            </w:pPr>
            <w:r>
              <w:rPr>
                <w:rFonts w:hint="eastAsia" w:ascii="宋体" w:hAnsi="宋体" w:cs="宋体"/>
                <w:color w:val="000000"/>
                <w:szCs w:val="21"/>
              </w:rPr>
              <w:t>公共卫生检验管理系统2026-2027年运维服务项目</w:t>
            </w:r>
          </w:p>
        </w:tc>
        <w:tc>
          <w:tcPr>
            <w:tcW w:w="546" w:type="pct"/>
            <w:shd w:val="clear" w:color="auto" w:fill="auto"/>
            <w:vAlign w:val="center"/>
          </w:tcPr>
          <w:p w14:paraId="6756AD2F">
            <w:pPr>
              <w:spacing w:line="276" w:lineRule="auto"/>
              <w:jc w:val="center"/>
              <w:rPr>
                <w:szCs w:val="21"/>
              </w:rPr>
            </w:pPr>
            <w:r>
              <w:rPr>
                <w:rFonts w:hint="eastAsia" w:ascii="宋体" w:hAnsi="宋体" w:cs="宋体"/>
                <w:color w:val="000000"/>
                <w:szCs w:val="21"/>
              </w:rPr>
              <w:t>1项</w:t>
            </w:r>
          </w:p>
        </w:tc>
        <w:tc>
          <w:tcPr>
            <w:tcW w:w="1459" w:type="pct"/>
            <w:shd w:val="clear" w:color="auto" w:fill="auto"/>
            <w:vAlign w:val="center"/>
          </w:tcPr>
          <w:p w14:paraId="70E96A55">
            <w:pPr>
              <w:widowControl/>
              <w:spacing w:line="276" w:lineRule="auto"/>
              <w:ind w:right="105" w:rightChars="50"/>
              <w:jc w:val="center"/>
              <w:rPr>
                <w:rFonts w:ascii="宋体" w:hAnsi="宋体" w:cs="宋体"/>
                <w:szCs w:val="21"/>
              </w:rPr>
            </w:pPr>
            <w:r>
              <w:rPr>
                <w:rFonts w:hint="eastAsia" w:asciiTheme="minorEastAsia" w:hAnsiTheme="minorEastAsia" w:eastAsiaTheme="minorEastAsia" w:cstheme="minorEastAsia"/>
                <w:szCs w:val="21"/>
              </w:rPr>
              <w:t>维护服务周期为12个月，服务时间从2026年10月1日起</w:t>
            </w:r>
          </w:p>
        </w:tc>
        <w:tc>
          <w:tcPr>
            <w:tcW w:w="1042" w:type="pct"/>
            <w:shd w:val="clear" w:color="auto" w:fill="auto"/>
            <w:vAlign w:val="center"/>
          </w:tcPr>
          <w:p w14:paraId="27EDCDD6">
            <w:pPr>
              <w:jc w:val="center"/>
              <w:rPr>
                <w:rFonts w:ascii="宋体" w:hAnsi="宋体" w:cs="仿宋_GB2312"/>
                <w:color w:val="000000"/>
                <w:szCs w:val="21"/>
              </w:rPr>
            </w:pPr>
          </w:p>
        </w:tc>
        <w:tc>
          <w:tcPr>
            <w:tcW w:w="590" w:type="pct"/>
            <w:shd w:val="clear" w:color="auto" w:fill="auto"/>
            <w:vAlign w:val="center"/>
          </w:tcPr>
          <w:p w14:paraId="780CDDC6">
            <w:pPr>
              <w:jc w:val="center"/>
              <w:rPr>
                <w:rFonts w:ascii="宋体" w:hAnsi="宋体" w:cs="仿宋_GB2312"/>
                <w:color w:val="000000"/>
                <w:szCs w:val="21"/>
              </w:rPr>
            </w:pPr>
          </w:p>
        </w:tc>
      </w:tr>
    </w:tbl>
    <w:p w14:paraId="3E3FDC12">
      <w:pPr>
        <w:pStyle w:val="6"/>
      </w:pPr>
    </w:p>
    <w:p w14:paraId="70B1907C">
      <w:pPr>
        <w:spacing w:line="360" w:lineRule="auto"/>
        <w:rPr>
          <w:rFonts w:ascii="宋体" w:hAnsi="宋体" w:cs="宋体"/>
          <w:b/>
          <w:color w:val="000000"/>
          <w:kern w:val="0"/>
          <w:szCs w:val="21"/>
        </w:rPr>
      </w:pPr>
      <w:r>
        <w:rPr>
          <w:rFonts w:hint="eastAsia" w:ascii="宋体" w:hAnsi="宋体"/>
          <w:b/>
          <w:color w:val="000000"/>
          <w:spacing w:val="4"/>
          <w:szCs w:val="21"/>
        </w:rPr>
        <w:t>注：</w:t>
      </w:r>
    </w:p>
    <w:p w14:paraId="754CE14E">
      <w:pPr>
        <w:widowControl/>
        <w:numPr>
          <w:ilvl w:val="0"/>
          <w:numId w:val="32"/>
        </w:numPr>
        <w:shd w:val="clear" w:color="auto" w:fill="FFFFFF"/>
        <w:spacing w:line="380" w:lineRule="atLeast"/>
        <w:jc w:val="left"/>
        <w:rPr>
          <w:rFonts w:ascii="宋体" w:hAnsi="宋体" w:cs="宋体"/>
          <w:b/>
          <w:color w:val="000000"/>
          <w:kern w:val="0"/>
          <w:szCs w:val="21"/>
        </w:rPr>
      </w:pPr>
      <w:r>
        <w:rPr>
          <w:rFonts w:hint="eastAsia" w:ascii="宋体" w:hAnsi="宋体" w:cs="宋体"/>
          <w:b/>
          <w:color w:val="000000"/>
          <w:kern w:val="0"/>
          <w:szCs w:val="21"/>
        </w:rPr>
        <w:t>供应商必须按报价表的格式填写，不得增加或删除表格内容。除单价、金额或项目要求填写的内容外，不得擅自改动报价表内容，否则将有可能影响成交结果，不推荐为成交候选人；</w:t>
      </w:r>
    </w:p>
    <w:p w14:paraId="568AD4E3">
      <w:pPr>
        <w:widowControl/>
        <w:numPr>
          <w:ilvl w:val="0"/>
          <w:numId w:val="32"/>
        </w:numPr>
        <w:shd w:val="clear" w:color="auto" w:fill="FFFFFF"/>
        <w:spacing w:line="380" w:lineRule="atLeast"/>
        <w:jc w:val="left"/>
        <w:rPr>
          <w:rFonts w:ascii="宋体" w:hAnsi="宋体" w:cs="宋体"/>
          <w:b/>
          <w:color w:val="000000"/>
          <w:kern w:val="0"/>
          <w:szCs w:val="21"/>
        </w:rPr>
      </w:pPr>
      <w:r>
        <w:rPr>
          <w:rFonts w:hint="eastAsia" w:ascii="宋体" w:hAnsi="宋体" w:cs="宋体"/>
          <w:b/>
          <w:color w:val="000000"/>
          <w:kern w:val="0"/>
          <w:szCs w:val="21"/>
        </w:rPr>
        <w:t>所有价格均系用人民币表示，单位为元，均为含税价；</w:t>
      </w:r>
    </w:p>
    <w:p w14:paraId="5392B973">
      <w:pPr>
        <w:widowControl/>
        <w:numPr>
          <w:ilvl w:val="0"/>
          <w:numId w:val="32"/>
        </w:numPr>
        <w:shd w:val="clear" w:color="auto" w:fill="FFFFFF"/>
        <w:spacing w:line="380" w:lineRule="atLeast"/>
        <w:jc w:val="left"/>
        <w:rPr>
          <w:rFonts w:ascii="宋体" w:hAnsi="宋体" w:cs="宋体"/>
          <w:b/>
          <w:color w:val="000000"/>
          <w:kern w:val="0"/>
          <w:szCs w:val="21"/>
        </w:rPr>
      </w:pPr>
      <w:r>
        <w:rPr>
          <w:rFonts w:hint="eastAsia" w:ascii="宋体" w:hAnsi="宋体" w:cs="宋体"/>
          <w:b/>
          <w:color w:val="000000"/>
          <w:kern w:val="0"/>
          <w:szCs w:val="21"/>
        </w:rPr>
        <w:t>平台上报价与报价表合计不一致的，以报价表合计（经价格核准后的价格）为准。</w:t>
      </w:r>
    </w:p>
    <w:p w14:paraId="4C5CA248">
      <w:pPr>
        <w:widowControl/>
        <w:numPr>
          <w:ilvl w:val="0"/>
          <w:numId w:val="32"/>
        </w:numPr>
        <w:shd w:val="clear" w:color="auto" w:fill="FFFFFF"/>
        <w:spacing w:line="380" w:lineRule="atLeast"/>
        <w:jc w:val="left"/>
        <w:rPr>
          <w:rFonts w:ascii="宋体" w:hAnsi="宋体" w:cs="宋体"/>
          <w:b/>
          <w:color w:val="000000"/>
          <w:kern w:val="0"/>
          <w:szCs w:val="21"/>
        </w:rPr>
      </w:pPr>
      <w:r>
        <w:rPr>
          <w:rFonts w:hint="eastAsia" w:ascii="宋体" w:hAnsi="宋体" w:cs="宋体"/>
          <w:b/>
          <w:color w:val="000000"/>
          <w:kern w:val="0"/>
          <w:szCs w:val="21"/>
        </w:rPr>
        <w:t>供应商报价表必须加盖公章，否则视作无效报价。</w:t>
      </w:r>
    </w:p>
    <w:p w14:paraId="023B6309">
      <w:pPr>
        <w:widowControl/>
        <w:numPr>
          <w:ilvl w:val="0"/>
          <w:numId w:val="32"/>
        </w:numPr>
        <w:spacing w:line="380" w:lineRule="atLeast"/>
        <w:jc w:val="left"/>
        <w:rPr>
          <w:rFonts w:ascii="宋体" w:hAnsi="宋体" w:cs="宋体"/>
          <w:color w:val="000000"/>
        </w:rPr>
      </w:pPr>
      <w:r>
        <w:rPr>
          <w:rFonts w:hint="eastAsia" w:ascii="宋体" w:hAnsi="宋体" w:cs="宋体"/>
          <w:b/>
          <w:color w:val="000000"/>
          <w:u w:val="double"/>
        </w:rPr>
        <w:t>出现以下情形的，</w:t>
      </w:r>
      <w:r>
        <w:rPr>
          <w:rFonts w:hint="eastAsia" w:ascii="宋体" w:hAnsi="宋体" w:cs="宋体"/>
          <w:b/>
          <w:bCs/>
        </w:rPr>
        <w:t>有可能影响项目质量或者不能诚信履约的，</w:t>
      </w:r>
      <w:r>
        <w:rPr>
          <w:rFonts w:hint="eastAsia" w:ascii="宋体" w:hAnsi="宋体" w:cs="宋体"/>
          <w:b/>
          <w:color w:val="000000"/>
          <w:u w:val="double"/>
        </w:rPr>
        <w:t>供应商</w:t>
      </w:r>
      <w:r>
        <w:rPr>
          <w:rFonts w:hint="eastAsia" w:ascii="宋体" w:hAnsi="宋体" w:cs="宋体"/>
          <w:b/>
          <w:bCs/>
        </w:rPr>
        <w:t>须提供书面说明（说明其报价的合理性）。</w:t>
      </w:r>
    </w:p>
    <w:p w14:paraId="744169D5">
      <w:pPr>
        <w:pStyle w:val="53"/>
        <w:spacing w:line="380" w:lineRule="atLeast"/>
        <w:ind w:left="426" w:firstLine="0"/>
        <w:rPr>
          <w:rFonts w:ascii="宋体" w:hAnsi="宋体" w:cs="宋体"/>
          <w:color w:val="000000"/>
        </w:rPr>
      </w:pPr>
      <w:r>
        <w:rPr>
          <w:rFonts w:hint="eastAsia" w:ascii="宋体" w:hAnsi="宋体" w:cs="宋体"/>
          <w:color w:val="000000"/>
        </w:rPr>
        <w:t>（1）响应供应商报价低于全部有效报价供应商的报价平均值50%的,即响应报价&lt;全部有效供应商报价的平均值×50%；</w:t>
      </w:r>
    </w:p>
    <w:p w14:paraId="3897A663">
      <w:pPr>
        <w:pStyle w:val="53"/>
        <w:spacing w:line="380" w:lineRule="atLeast"/>
        <w:ind w:left="426" w:firstLine="0"/>
        <w:rPr>
          <w:rFonts w:ascii="宋体" w:hAnsi="宋体" w:cs="宋体"/>
          <w:color w:val="000000"/>
        </w:rPr>
      </w:pPr>
      <w:r>
        <w:rPr>
          <w:rFonts w:hint="eastAsia" w:ascii="宋体" w:hAnsi="宋体" w:cs="宋体"/>
          <w:color w:val="000000"/>
        </w:rPr>
        <w:t>（2）响应供应商报价低于有效次低报价供应商的报价50%的，即响应报价&lt;有效次低报价供应商的报价×50%；</w:t>
      </w:r>
    </w:p>
    <w:p w14:paraId="77D548A2">
      <w:pPr>
        <w:pStyle w:val="53"/>
        <w:spacing w:line="380" w:lineRule="atLeast"/>
        <w:ind w:left="426" w:firstLine="0"/>
        <w:rPr>
          <w:rFonts w:ascii="宋体" w:hAnsi="宋体" w:cs="宋体"/>
          <w:color w:val="000000"/>
        </w:rPr>
      </w:pPr>
      <w:r>
        <w:rPr>
          <w:rFonts w:hint="eastAsia" w:ascii="宋体" w:hAnsi="宋体" w:cs="宋体"/>
          <w:color w:val="000000"/>
        </w:rPr>
        <w:t>（3）响应供应商的报价低于采购项目最高限价45%的，即报价&lt;采购项目最高限价×45%；</w:t>
      </w:r>
    </w:p>
    <w:p w14:paraId="7EAD96A9">
      <w:pPr>
        <w:pStyle w:val="53"/>
        <w:spacing w:line="380" w:lineRule="atLeast"/>
        <w:ind w:left="426" w:firstLine="0"/>
        <w:rPr>
          <w:rFonts w:ascii="宋体" w:hAnsi="宋体" w:cs="宋体"/>
          <w:color w:val="000000"/>
        </w:rPr>
      </w:pPr>
      <w:r>
        <w:rPr>
          <w:rFonts w:hint="eastAsia" w:ascii="宋体" w:hAnsi="宋体" w:cs="宋体"/>
          <w:color w:val="000000"/>
        </w:rPr>
        <w:t>（4）评审专家基于专业判断，认为供应商报价过低，有可能影响产品质量或不能诚信履约的其他情形。</w:t>
      </w:r>
    </w:p>
    <w:p w14:paraId="7B24D456">
      <w:pPr>
        <w:widowControl/>
        <w:numPr>
          <w:ilvl w:val="0"/>
          <w:numId w:val="32"/>
        </w:numPr>
        <w:spacing w:line="380" w:lineRule="atLeast"/>
        <w:jc w:val="left"/>
      </w:pPr>
      <w:r>
        <w:rPr>
          <w:rFonts w:hint="eastAsia" w:ascii="宋体" w:hAnsi="宋体" w:cs="宋体"/>
          <w:b/>
          <w:bCs/>
          <w:color w:val="000000"/>
          <w:u w:val="single"/>
        </w:rPr>
        <w:t>评审专家启动异常低价响应审查后，属于前述第1项至第4项情形的，应当要求相关供应商在评审期间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期间可不再重复提交。</w:t>
      </w:r>
    </w:p>
    <w:p w14:paraId="21864E79">
      <w:pPr>
        <w:spacing w:line="360" w:lineRule="auto"/>
        <w:rPr>
          <w:rFonts w:ascii="宋体" w:hAnsi="宋体"/>
          <w:color w:val="000000"/>
          <w:spacing w:val="4"/>
          <w:szCs w:val="21"/>
        </w:rPr>
      </w:pPr>
    </w:p>
    <w:p w14:paraId="60838C8B">
      <w:pPr>
        <w:spacing w:line="360" w:lineRule="auto"/>
        <w:jc w:val="center"/>
        <w:rPr>
          <w:rFonts w:ascii="宋体" w:hAnsi="宋体"/>
          <w:color w:val="000000"/>
          <w:szCs w:val="21"/>
          <w:u w:val="single"/>
        </w:rPr>
      </w:pPr>
      <w:r>
        <w:rPr>
          <w:rFonts w:hint="eastAsia" w:ascii="宋体" w:hAnsi="宋体"/>
          <w:color w:val="000000"/>
          <w:spacing w:val="4"/>
          <w:szCs w:val="21"/>
        </w:rPr>
        <w:t xml:space="preserve">       供应商名称（</w:t>
      </w:r>
      <w:r>
        <w:rPr>
          <w:rFonts w:hint="eastAsia" w:ascii="宋体" w:hAnsi="宋体"/>
          <w:color w:val="000000"/>
          <w:szCs w:val="21"/>
        </w:rPr>
        <w:t>单位盖</w:t>
      </w:r>
      <w:r>
        <w:rPr>
          <w:rFonts w:hint="eastAsia" w:ascii="宋体" w:hAnsi="宋体"/>
          <w:color w:val="000000"/>
          <w:spacing w:val="4"/>
          <w:szCs w:val="21"/>
        </w:rPr>
        <w:t>公章）：</w:t>
      </w:r>
      <w:r>
        <w:rPr>
          <w:rFonts w:ascii="宋体" w:hAnsi="宋体"/>
          <w:color w:val="000000"/>
          <w:spacing w:val="4"/>
          <w:szCs w:val="21"/>
          <w:u w:val="single"/>
        </w:rPr>
        <w:t xml:space="preserve">                     </w:t>
      </w:r>
    </w:p>
    <w:p w14:paraId="3AD52292">
      <w:pPr>
        <w:spacing w:line="360" w:lineRule="auto"/>
        <w:jc w:val="center"/>
        <w:rPr>
          <w:rFonts w:ascii="宋体" w:hAnsi="宋体"/>
          <w:color w:val="000000"/>
          <w:spacing w:val="4"/>
          <w:szCs w:val="21"/>
          <w:u w:val="single"/>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hint="eastAsia" w:ascii="宋体" w:hAnsi="宋体"/>
          <w:color w:val="000000"/>
          <w:spacing w:val="4"/>
          <w:szCs w:val="21"/>
        </w:rPr>
        <w:t xml:space="preserve">                         日期：</w:t>
      </w:r>
      <w:r>
        <w:rPr>
          <w:rFonts w:ascii="宋体" w:hAnsi="宋体"/>
          <w:color w:val="000000"/>
          <w:spacing w:val="4"/>
          <w:szCs w:val="21"/>
          <w:u w:val="single"/>
        </w:rPr>
        <w:t xml:space="preserve"> </w:t>
      </w:r>
      <w:r>
        <w:rPr>
          <w:rFonts w:hint="eastAsia" w:ascii="宋体" w:hAnsi="宋体"/>
          <w:color w:val="000000"/>
          <w:spacing w:val="4"/>
          <w:szCs w:val="21"/>
          <w:u w:val="single"/>
        </w:rPr>
        <w:t xml:space="preserve">                    </w:t>
      </w:r>
    </w:p>
    <w:p w14:paraId="406368B6">
      <w:pPr>
        <w:keepNext/>
        <w:keepLines/>
        <w:spacing w:before="260" w:after="260" w:line="416" w:lineRule="auto"/>
        <w:jc w:val="center"/>
        <w:outlineLvl w:val="1"/>
        <w:rPr>
          <w:rFonts w:ascii="宋体" w:hAnsi="宋体"/>
          <w:b/>
          <w:bCs/>
          <w:sz w:val="32"/>
          <w:szCs w:val="32"/>
        </w:rPr>
      </w:pPr>
      <w:r>
        <w:rPr>
          <w:rFonts w:hint="eastAsia" w:ascii="宋体" w:hAnsi="宋体"/>
          <w:b/>
          <w:bCs/>
          <w:sz w:val="32"/>
          <w:szCs w:val="32"/>
        </w:rPr>
        <w:t>供应商资格声明函</w:t>
      </w:r>
    </w:p>
    <w:p w14:paraId="01CDA11C">
      <w:pPr>
        <w:spacing w:line="360" w:lineRule="auto"/>
        <w:rPr>
          <w:rFonts w:ascii="宋体" w:hAnsi="宋体"/>
          <w:b/>
          <w:color w:val="000000"/>
        </w:rPr>
      </w:pPr>
    </w:p>
    <w:p w14:paraId="17B951E5">
      <w:pPr>
        <w:spacing w:line="360" w:lineRule="auto"/>
        <w:rPr>
          <w:rFonts w:ascii="宋体" w:hAnsi="宋体"/>
          <w:b/>
          <w:bCs/>
          <w:color w:val="000000"/>
        </w:rPr>
      </w:pPr>
      <w:r>
        <w:rPr>
          <w:rFonts w:ascii="宋体" w:hAnsi="宋体"/>
          <w:b/>
          <w:bCs/>
          <w:color w:val="000000"/>
        </w:rPr>
        <w:t>致：</w:t>
      </w:r>
      <w:r>
        <w:rPr>
          <w:rFonts w:hint="eastAsia" w:ascii="宋体" w:hAnsi="宋体"/>
          <w:b/>
          <w:bCs/>
          <w:color w:val="000000"/>
        </w:rPr>
        <w:t>东莞市疾病预防控制中心（东莞市卫生监督所）、云采链（广州）信息科技有限公司：</w:t>
      </w:r>
    </w:p>
    <w:p w14:paraId="7C9BA4F8">
      <w:pPr>
        <w:rPr>
          <w:rFonts w:ascii="宋体" w:hAnsi="宋体"/>
          <w:b/>
          <w:color w:val="000000"/>
        </w:rPr>
      </w:pPr>
    </w:p>
    <w:p w14:paraId="54A5ED7C">
      <w:pPr>
        <w:snapToGrid w:val="0"/>
        <w:spacing w:line="360" w:lineRule="auto"/>
        <w:ind w:firstLine="424" w:firstLineChars="202"/>
        <w:rPr>
          <w:rFonts w:ascii="宋体" w:hAnsi="宋体"/>
          <w:color w:val="000000"/>
        </w:rPr>
      </w:pPr>
      <w:r>
        <w:rPr>
          <w:rFonts w:ascii="宋体" w:hAnsi="宋体"/>
          <w:color w:val="000000"/>
        </w:rPr>
        <w:t>关于贵单位、贵司发布</w:t>
      </w:r>
      <w:r>
        <w:rPr>
          <w:rFonts w:hint="eastAsia" w:ascii="宋体" w:hAnsi="宋体"/>
          <w:b/>
          <w:bCs/>
          <w:color w:val="000000"/>
          <w:u w:val="single"/>
        </w:rPr>
        <w:t xml:space="preserve"> 公共卫生检验管理系统2026-2027年运维服务项目</w:t>
      </w:r>
      <w:r>
        <w:rPr>
          <w:rFonts w:hint="eastAsia" w:ascii="宋体" w:hAnsi="宋体"/>
          <w:color w:val="000000"/>
        </w:rPr>
        <w:t>的采购公告，本公司（企业）愿意参加</w:t>
      </w:r>
      <w:r>
        <w:rPr>
          <w:rFonts w:hint="eastAsia" w:ascii="宋体" w:hAnsi="宋体"/>
          <w:color w:val="000000"/>
          <w:szCs w:val="21"/>
        </w:rPr>
        <w:t>采购活动</w:t>
      </w:r>
      <w:r>
        <w:rPr>
          <w:rFonts w:hint="eastAsia" w:ascii="宋体" w:hAnsi="宋体"/>
          <w:color w:val="000000"/>
        </w:rPr>
        <w:t>，并声明：</w:t>
      </w:r>
    </w:p>
    <w:p w14:paraId="31065C3A">
      <w:pPr>
        <w:snapToGrid w:val="0"/>
        <w:spacing w:line="360" w:lineRule="auto"/>
        <w:ind w:firstLine="420" w:firstLineChars="200"/>
        <w:rPr>
          <w:rFonts w:ascii="宋体" w:hAnsi="宋体"/>
          <w:bCs/>
          <w:color w:val="000000"/>
          <w:szCs w:val="20"/>
        </w:rPr>
      </w:pPr>
      <w:r>
        <w:rPr>
          <w:rFonts w:hint="eastAsia" w:ascii="宋体" w:hAnsi="宋体"/>
          <w:color w:val="000000"/>
        </w:rPr>
        <w:t>一、本公司（企业）</w:t>
      </w:r>
      <w:r>
        <w:rPr>
          <w:rFonts w:hint="eastAsia" w:ascii="宋体" w:hAnsi="宋体"/>
          <w:bCs/>
          <w:color w:val="000000"/>
          <w:szCs w:val="20"/>
        </w:rPr>
        <w:t>具备《中华人民共和国政府采购法》第二十二条规定的条件：</w:t>
      </w:r>
    </w:p>
    <w:p w14:paraId="005DB9DB">
      <w:pPr>
        <w:widowControl/>
        <w:spacing w:line="360" w:lineRule="auto"/>
        <w:ind w:firstLine="360"/>
        <w:rPr>
          <w:rFonts w:ascii="宋体" w:hAnsi="宋体" w:cs="宋体"/>
          <w:color w:val="000000"/>
          <w:kern w:val="0"/>
          <w:szCs w:val="21"/>
        </w:rPr>
      </w:pPr>
      <w:r>
        <w:rPr>
          <w:rFonts w:hint="eastAsia" w:ascii="宋体" w:hAnsi="宋体" w:cs="宋体"/>
          <w:color w:val="000000"/>
          <w:kern w:val="0"/>
          <w:szCs w:val="21"/>
        </w:rPr>
        <w:t>（一）具有独立承担民事责任的能力；</w:t>
      </w:r>
    </w:p>
    <w:p w14:paraId="5E89D829">
      <w:pPr>
        <w:widowControl/>
        <w:spacing w:line="360" w:lineRule="auto"/>
        <w:ind w:firstLine="360"/>
        <w:rPr>
          <w:rFonts w:ascii="宋体" w:hAnsi="宋体" w:cs="宋体"/>
          <w:color w:val="000000"/>
          <w:kern w:val="0"/>
          <w:szCs w:val="21"/>
        </w:rPr>
      </w:pPr>
      <w:r>
        <w:rPr>
          <w:rFonts w:hint="eastAsia" w:ascii="宋体" w:hAnsi="宋体" w:cs="宋体"/>
          <w:color w:val="000000"/>
          <w:kern w:val="0"/>
          <w:szCs w:val="21"/>
        </w:rPr>
        <w:t>（二）具有良好的商业信誉和健全的财务会计制度；</w:t>
      </w:r>
    </w:p>
    <w:p w14:paraId="32613739">
      <w:pPr>
        <w:widowControl/>
        <w:spacing w:line="360" w:lineRule="auto"/>
        <w:ind w:firstLine="360"/>
        <w:rPr>
          <w:rFonts w:ascii="宋体" w:hAnsi="宋体" w:cs="宋体"/>
          <w:color w:val="000000"/>
          <w:kern w:val="0"/>
          <w:szCs w:val="21"/>
        </w:rPr>
      </w:pPr>
      <w:r>
        <w:rPr>
          <w:rFonts w:hint="eastAsia" w:ascii="宋体" w:hAnsi="宋体" w:cs="宋体"/>
          <w:color w:val="000000"/>
          <w:kern w:val="0"/>
          <w:szCs w:val="21"/>
        </w:rPr>
        <w:t>（三）具有履行合同所必需的设备和专业技术能力；</w:t>
      </w:r>
    </w:p>
    <w:p w14:paraId="6755E5AE">
      <w:pPr>
        <w:widowControl/>
        <w:spacing w:line="360" w:lineRule="auto"/>
        <w:ind w:firstLine="360"/>
        <w:rPr>
          <w:rFonts w:ascii="宋体" w:hAnsi="宋体" w:cs="宋体"/>
          <w:color w:val="000000"/>
          <w:kern w:val="0"/>
          <w:szCs w:val="21"/>
        </w:rPr>
      </w:pPr>
      <w:r>
        <w:rPr>
          <w:rFonts w:hint="eastAsia" w:ascii="宋体" w:hAnsi="宋体" w:cs="宋体"/>
          <w:color w:val="000000"/>
          <w:kern w:val="0"/>
          <w:szCs w:val="21"/>
        </w:rPr>
        <w:t>（四）有依法缴纳税收和社会保障资金的良好记录；</w:t>
      </w:r>
    </w:p>
    <w:p w14:paraId="14182AEC">
      <w:pPr>
        <w:widowControl/>
        <w:spacing w:line="360" w:lineRule="auto"/>
        <w:ind w:firstLine="360"/>
        <w:rPr>
          <w:rFonts w:ascii="宋体" w:hAnsi="宋体" w:cs="宋体"/>
          <w:color w:val="000000"/>
          <w:kern w:val="0"/>
          <w:szCs w:val="21"/>
        </w:rPr>
      </w:pPr>
      <w:r>
        <w:rPr>
          <w:rFonts w:hint="eastAsia" w:ascii="宋体" w:hAnsi="宋体" w:cs="宋体"/>
          <w:color w:val="000000"/>
          <w:kern w:val="0"/>
          <w:szCs w:val="21"/>
        </w:rPr>
        <w:t>（五）参加政府采购活动前三年内，在经营活动中没有重大违法记录；</w:t>
      </w:r>
    </w:p>
    <w:p w14:paraId="4E36FF9C">
      <w:pPr>
        <w:widowControl/>
        <w:spacing w:line="360" w:lineRule="auto"/>
        <w:ind w:firstLine="360"/>
        <w:rPr>
          <w:rFonts w:ascii="宋体" w:hAnsi="宋体" w:cs="宋体"/>
          <w:color w:val="000000"/>
          <w:kern w:val="0"/>
          <w:szCs w:val="21"/>
        </w:rPr>
      </w:pPr>
      <w:r>
        <w:rPr>
          <w:rFonts w:hint="eastAsia" w:ascii="宋体" w:hAnsi="宋体" w:cs="宋体"/>
          <w:color w:val="000000"/>
          <w:kern w:val="0"/>
          <w:szCs w:val="21"/>
        </w:rPr>
        <w:t>（六）法律、行政法规规定的其他条件。</w:t>
      </w:r>
    </w:p>
    <w:p w14:paraId="0A6ECAE8">
      <w:pPr>
        <w:snapToGrid w:val="0"/>
        <w:spacing w:line="360" w:lineRule="auto"/>
        <w:ind w:firstLine="424" w:firstLineChars="202"/>
        <w:rPr>
          <w:rFonts w:ascii="宋体" w:hAnsi="宋体"/>
          <w:color w:val="000000"/>
        </w:rPr>
      </w:pPr>
      <w:r>
        <w:rPr>
          <w:rFonts w:hint="eastAsia" w:ascii="宋体" w:hAnsi="宋体"/>
          <w:color w:val="000000"/>
        </w:rPr>
        <w:t>二、本公司具有本次采购项目服务能力。</w:t>
      </w:r>
    </w:p>
    <w:p w14:paraId="6E9900F2">
      <w:pPr>
        <w:snapToGrid w:val="0"/>
        <w:spacing w:line="360" w:lineRule="auto"/>
        <w:ind w:firstLine="424" w:firstLineChars="202"/>
        <w:rPr>
          <w:rFonts w:ascii="宋体" w:hAnsi="宋体"/>
          <w:color w:val="000000"/>
        </w:rPr>
      </w:pPr>
      <w:r>
        <w:rPr>
          <w:rFonts w:hint="eastAsia" w:ascii="宋体" w:hAnsi="宋体"/>
          <w:color w:val="000000"/>
        </w:rPr>
        <w:t>三、本公司有固定的经营场所，信誉良好、售后维护服务好，并且在经营活动中无严重违法记录。</w:t>
      </w:r>
    </w:p>
    <w:p w14:paraId="02933DBE">
      <w:pPr>
        <w:snapToGrid w:val="0"/>
        <w:spacing w:line="360" w:lineRule="auto"/>
        <w:ind w:firstLine="424" w:firstLineChars="202"/>
        <w:rPr>
          <w:rFonts w:ascii="宋体" w:hAnsi="宋体"/>
          <w:color w:val="000000"/>
        </w:rPr>
      </w:pPr>
      <w:r>
        <w:rPr>
          <w:rFonts w:ascii="宋体" w:hAnsi="宋体"/>
          <w:color w:val="000000"/>
        </w:rPr>
        <w:t>四、本公司在本项目中不转包分包且不联合</w:t>
      </w:r>
      <w:r>
        <w:rPr>
          <w:rFonts w:hint="eastAsia" w:ascii="宋体" w:hAnsi="宋体"/>
          <w:color w:val="000000"/>
        </w:rPr>
        <w:t>参评</w:t>
      </w:r>
      <w:r>
        <w:rPr>
          <w:rFonts w:ascii="宋体" w:hAnsi="宋体"/>
          <w:color w:val="000000"/>
        </w:rPr>
        <w:t>。</w:t>
      </w:r>
    </w:p>
    <w:p w14:paraId="6E7A0D37">
      <w:pPr>
        <w:snapToGrid w:val="0"/>
        <w:spacing w:line="360" w:lineRule="auto"/>
        <w:ind w:firstLine="424" w:firstLineChars="202"/>
        <w:rPr>
          <w:rFonts w:ascii="宋体" w:hAnsi="宋体"/>
          <w:color w:val="000000"/>
        </w:rPr>
      </w:pPr>
      <w:r>
        <w:rPr>
          <w:rFonts w:hint="eastAsia" w:ascii="宋体" w:hAnsi="宋体" w:cs="宋体"/>
          <w:color w:val="000000"/>
          <w:szCs w:val="21"/>
        </w:rPr>
        <w:t>五、</w:t>
      </w:r>
      <w:r>
        <w:rPr>
          <w:rFonts w:ascii="宋体" w:hAnsi="宋体"/>
          <w:color w:val="000000"/>
        </w:rPr>
        <w:t>本公司</w:t>
      </w:r>
      <w:r>
        <w:rPr>
          <w:rFonts w:hint="eastAsia" w:ascii="宋体" w:hAnsi="宋体" w:cs="宋体"/>
          <w:color w:val="000000"/>
          <w:szCs w:val="21"/>
        </w:rPr>
        <w:t>符合《东莞市政府向社会组织购买服务工作暂行办法》（东府办〔</w:t>
      </w:r>
      <w:r>
        <w:rPr>
          <w:rFonts w:ascii="宋体" w:hAnsi="宋体" w:cs="宋体"/>
          <w:color w:val="000000"/>
          <w:szCs w:val="21"/>
        </w:rPr>
        <w:t>2013</w:t>
      </w:r>
      <w:r>
        <w:rPr>
          <w:rFonts w:hint="eastAsia" w:ascii="宋体" w:hAnsi="宋体" w:cs="宋体"/>
          <w:color w:val="000000"/>
          <w:szCs w:val="21"/>
        </w:rPr>
        <w:t>〕</w:t>
      </w:r>
      <w:r>
        <w:rPr>
          <w:rFonts w:ascii="宋体" w:hAnsi="宋体" w:cs="宋体"/>
          <w:color w:val="000000"/>
          <w:szCs w:val="21"/>
        </w:rPr>
        <w:t>31</w:t>
      </w:r>
      <w:r>
        <w:rPr>
          <w:rFonts w:hint="eastAsia" w:ascii="宋体" w:hAnsi="宋体" w:cs="宋体"/>
          <w:color w:val="000000"/>
          <w:szCs w:val="21"/>
        </w:rPr>
        <w:t>号）有关规定。</w:t>
      </w:r>
    </w:p>
    <w:p w14:paraId="6326BE02">
      <w:pPr>
        <w:snapToGrid w:val="0"/>
        <w:spacing w:line="360" w:lineRule="auto"/>
        <w:ind w:firstLine="424" w:firstLineChars="202"/>
        <w:rPr>
          <w:rFonts w:ascii="宋体" w:hAnsi="宋体"/>
          <w:color w:val="000000"/>
        </w:rPr>
      </w:pPr>
      <w:r>
        <w:rPr>
          <w:rFonts w:hint="eastAsia" w:ascii="宋体" w:hAnsi="宋体"/>
          <w:color w:val="000000"/>
        </w:rPr>
        <w:t>本公司（企业）承诺在本次采购活动中，如有违法、违规</w:t>
      </w:r>
      <w:r>
        <w:rPr>
          <w:rFonts w:hint="eastAsia" w:ascii="宋体" w:hAnsi="宋体"/>
          <w:color w:val="000000"/>
          <w:szCs w:val="21"/>
        </w:rPr>
        <w:t>、</w:t>
      </w:r>
      <w:r>
        <w:rPr>
          <w:rFonts w:hint="eastAsia" w:ascii="宋体" w:hAnsi="宋体"/>
          <w:color w:val="000000"/>
        </w:rPr>
        <w:t>弄虚作假行为，所造成的损失、不良后果及法律责任，一律由我公司（企业）承担。</w:t>
      </w:r>
    </w:p>
    <w:p w14:paraId="29879185">
      <w:pPr>
        <w:spacing w:line="360" w:lineRule="auto"/>
        <w:ind w:firstLine="420"/>
        <w:rPr>
          <w:rFonts w:ascii="宋体" w:hAnsi="宋体"/>
          <w:color w:val="000000"/>
        </w:rPr>
      </w:pPr>
      <w:r>
        <w:rPr>
          <w:rFonts w:hint="eastAsia" w:ascii="宋体" w:hAnsi="宋体"/>
          <w:color w:val="000000"/>
        </w:rPr>
        <w:t>特此声明！</w:t>
      </w:r>
    </w:p>
    <w:p w14:paraId="3FA9F2F2">
      <w:pPr>
        <w:autoSpaceDE w:val="0"/>
        <w:autoSpaceDN w:val="0"/>
        <w:adjustRightInd w:val="0"/>
        <w:spacing w:line="360" w:lineRule="auto"/>
        <w:ind w:firstLine="413" w:firstLineChars="196"/>
        <w:rPr>
          <w:rFonts w:ascii="宋体" w:hAnsi="宋体"/>
          <w:b/>
          <w:color w:val="000000"/>
        </w:rPr>
      </w:pPr>
      <w:r>
        <w:rPr>
          <w:rFonts w:hint="eastAsia" w:ascii="宋体" w:hAnsi="宋体"/>
          <w:b/>
          <w:color w:val="000000"/>
        </w:rPr>
        <w:t>备注：</w:t>
      </w:r>
    </w:p>
    <w:p w14:paraId="398E7300">
      <w:pPr>
        <w:numPr>
          <w:ilvl w:val="1"/>
          <w:numId w:val="33"/>
        </w:numPr>
        <w:rPr>
          <w:rFonts w:ascii="宋体" w:hAnsi="宋体"/>
          <w:szCs w:val="21"/>
        </w:rPr>
      </w:pPr>
      <w:r>
        <w:rPr>
          <w:rFonts w:hint="eastAsia" w:ascii="宋体" w:hAnsi="宋体"/>
          <w:szCs w:val="21"/>
        </w:rPr>
        <w:t>本声明函必须提供且内容不得擅自删改，否则视为响应无效。</w:t>
      </w:r>
    </w:p>
    <w:p w14:paraId="7E3828E4">
      <w:pPr>
        <w:numPr>
          <w:ilvl w:val="1"/>
          <w:numId w:val="33"/>
        </w:numPr>
        <w:rPr>
          <w:rFonts w:ascii="宋体" w:hAnsi="宋体"/>
          <w:szCs w:val="21"/>
        </w:rPr>
      </w:pPr>
      <w:r>
        <w:rPr>
          <w:rFonts w:hint="eastAsia" w:ascii="宋体" w:hAnsi="宋体"/>
          <w:szCs w:val="21"/>
        </w:rPr>
        <w:t>本声明函如有虚假或与事实不符的，作无效参评处理。</w:t>
      </w:r>
    </w:p>
    <w:p w14:paraId="60027BD3">
      <w:pPr>
        <w:wordWrap w:val="0"/>
        <w:spacing w:line="360" w:lineRule="auto"/>
        <w:ind w:left="840"/>
        <w:jc w:val="right"/>
        <w:rPr>
          <w:rFonts w:ascii="宋体" w:hAnsi="宋体"/>
          <w:color w:val="000000"/>
          <w:spacing w:val="4"/>
          <w:szCs w:val="21"/>
        </w:rPr>
      </w:pPr>
    </w:p>
    <w:p w14:paraId="16616528">
      <w:pPr>
        <w:wordWrap w:val="0"/>
        <w:spacing w:line="360" w:lineRule="auto"/>
        <w:ind w:left="840" w:firstLine="3052" w:firstLineChars="1400"/>
        <w:jc w:val="center"/>
        <w:rPr>
          <w:rFonts w:ascii="宋体" w:hAnsi="宋体"/>
          <w:color w:val="000000"/>
          <w:szCs w:val="21"/>
          <w:u w:val="single"/>
        </w:rPr>
      </w:pPr>
      <w:r>
        <w:rPr>
          <w:rFonts w:hint="eastAsia" w:ascii="宋体" w:hAnsi="宋体"/>
          <w:color w:val="000000"/>
          <w:spacing w:val="4"/>
          <w:szCs w:val="21"/>
        </w:rPr>
        <w:t>供应商名称（</w:t>
      </w:r>
      <w:r>
        <w:rPr>
          <w:rFonts w:hint="eastAsia" w:ascii="宋体" w:hAnsi="宋体"/>
          <w:color w:val="000000"/>
          <w:szCs w:val="21"/>
        </w:rPr>
        <w:t>单位盖</w:t>
      </w:r>
      <w:r>
        <w:rPr>
          <w:rFonts w:hint="eastAsia" w:ascii="宋体" w:hAnsi="宋体"/>
          <w:color w:val="000000"/>
          <w:spacing w:val="4"/>
          <w:szCs w:val="21"/>
        </w:rPr>
        <w:t>公章）：</w:t>
      </w:r>
      <w:r>
        <w:rPr>
          <w:rFonts w:hint="eastAsia" w:ascii="宋体" w:hAnsi="宋体"/>
          <w:color w:val="000000"/>
          <w:spacing w:val="4"/>
          <w:szCs w:val="21"/>
          <w:u w:val="single"/>
        </w:rPr>
        <w:t xml:space="preserve">               </w:t>
      </w:r>
    </w:p>
    <w:p w14:paraId="7620C7A2">
      <w:pPr>
        <w:wordWrap w:val="0"/>
        <w:spacing w:line="360" w:lineRule="auto"/>
        <w:ind w:firstLine="5886" w:firstLineChars="2700"/>
        <w:rPr>
          <w:rFonts w:ascii="宋体" w:hAnsi="宋体"/>
          <w:color w:val="000000"/>
          <w:spacing w:val="4"/>
          <w:szCs w:val="21"/>
          <w:u w:val="single"/>
        </w:rPr>
      </w:pPr>
      <w:r>
        <w:rPr>
          <w:rFonts w:hint="eastAsia" w:ascii="宋体" w:hAnsi="宋体"/>
          <w:color w:val="000000"/>
          <w:spacing w:val="4"/>
          <w:szCs w:val="21"/>
        </w:rPr>
        <w:t>日期：</w:t>
      </w:r>
      <w:r>
        <w:rPr>
          <w:rFonts w:hint="eastAsia" w:ascii="宋体" w:hAnsi="宋体"/>
          <w:color w:val="000000"/>
          <w:spacing w:val="4"/>
          <w:szCs w:val="21"/>
          <w:u w:val="single"/>
        </w:rPr>
        <w:t xml:space="preserve">               </w:t>
      </w:r>
    </w:p>
    <w:p w14:paraId="752EEA6F">
      <w:pPr>
        <w:adjustRightInd w:val="0"/>
        <w:spacing w:line="480" w:lineRule="atLeast"/>
        <w:textAlignment w:val="baseline"/>
        <w:rPr>
          <w:rFonts w:ascii="宋体" w:hAnsi="宋体"/>
          <w:color w:val="000000"/>
          <w:kern w:val="0"/>
          <w:szCs w:val="20"/>
        </w:rPr>
      </w:pPr>
      <w:r>
        <w:rPr>
          <w:rFonts w:ascii="宋体" w:hAnsi="宋体"/>
          <w:color w:val="000000"/>
          <w:kern w:val="0"/>
          <w:szCs w:val="20"/>
        </w:rPr>
        <w:br w:type="page"/>
      </w:r>
    </w:p>
    <w:p w14:paraId="5B075868">
      <w:pPr>
        <w:keepNext/>
        <w:keepLines/>
        <w:spacing w:before="260" w:after="260" w:line="360" w:lineRule="auto"/>
        <w:jc w:val="center"/>
        <w:outlineLvl w:val="1"/>
        <w:rPr>
          <w:rFonts w:ascii="宋体" w:hAnsi="宋体"/>
          <w:b/>
          <w:bCs/>
          <w:sz w:val="32"/>
          <w:szCs w:val="32"/>
        </w:rPr>
      </w:pPr>
      <w:r>
        <w:rPr>
          <w:rFonts w:hint="eastAsia" w:ascii="宋体" w:hAnsi="宋体"/>
          <w:b/>
          <w:bCs/>
          <w:sz w:val="32"/>
          <w:szCs w:val="32"/>
        </w:rPr>
        <w:t>承</w:t>
      </w:r>
      <w:r>
        <w:rPr>
          <w:rFonts w:ascii="宋体" w:hAnsi="宋体"/>
          <w:b/>
          <w:bCs/>
          <w:sz w:val="32"/>
          <w:szCs w:val="32"/>
        </w:rPr>
        <w:t xml:space="preserve"> </w:t>
      </w:r>
      <w:r>
        <w:rPr>
          <w:rFonts w:hint="eastAsia" w:ascii="宋体" w:hAnsi="宋体"/>
          <w:b/>
          <w:bCs/>
          <w:sz w:val="32"/>
          <w:szCs w:val="32"/>
        </w:rPr>
        <w:t>诺</w:t>
      </w:r>
      <w:r>
        <w:rPr>
          <w:rFonts w:ascii="宋体" w:hAnsi="宋体"/>
          <w:b/>
          <w:bCs/>
          <w:sz w:val="32"/>
          <w:szCs w:val="32"/>
        </w:rPr>
        <w:t xml:space="preserve"> </w:t>
      </w:r>
      <w:r>
        <w:rPr>
          <w:rFonts w:hint="eastAsia" w:ascii="宋体" w:hAnsi="宋体"/>
          <w:b/>
          <w:bCs/>
          <w:sz w:val="32"/>
          <w:szCs w:val="32"/>
        </w:rPr>
        <w:t>函</w:t>
      </w:r>
    </w:p>
    <w:p w14:paraId="59A51FAB">
      <w:pPr>
        <w:spacing w:line="360" w:lineRule="auto"/>
        <w:rPr>
          <w:rFonts w:ascii="宋体" w:hAnsi="宋体"/>
          <w:b/>
          <w:bCs/>
          <w:color w:val="000000"/>
        </w:rPr>
      </w:pPr>
      <w:r>
        <w:rPr>
          <w:rFonts w:ascii="宋体" w:hAnsi="宋体"/>
          <w:b/>
          <w:bCs/>
          <w:color w:val="000000"/>
        </w:rPr>
        <w:t>致：</w:t>
      </w:r>
      <w:r>
        <w:rPr>
          <w:rFonts w:hint="eastAsia" w:ascii="宋体" w:hAnsi="宋体"/>
          <w:b/>
          <w:bCs/>
          <w:color w:val="000000"/>
        </w:rPr>
        <w:t>东莞市疾病预防控制中心（东莞市卫生监督所）</w:t>
      </w:r>
      <w:r>
        <w:rPr>
          <w:rFonts w:ascii="宋体" w:hAnsi="宋体"/>
          <w:b/>
          <w:bCs/>
          <w:color w:val="000000"/>
        </w:rPr>
        <w:t>、云采链（广州）信息科技有限公司：</w:t>
      </w:r>
    </w:p>
    <w:p w14:paraId="7B75D477">
      <w:pPr>
        <w:rPr>
          <w:rFonts w:ascii="宋体" w:hAnsi="宋体"/>
          <w:b/>
          <w:color w:val="000000"/>
        </w:rPr>
      </w:pPr>
    </w:p>
    <w:p w14:paraId="14C15AA4">
      <w:pPr>
        <w:snapToGrid w:val="0"/>
        <w:spacing w:line="360" w:lineRule="auto"/>
        <w:ind w:firstLine="424" w:firstLineChars="202"/>
        <w:rPr>
          <w:rFonts w:ascii="宋体" w:hAnsi="宋体"/>
          <w:color w:val="000000"/>
        </w:rPr>
      </w:pPr>
      <w:r>
        <w:rPr>
          <w:rFonts w:ascii="宋体" w:hAnsi="宋体"/>
          <w:color w:val="000000"/>
        </w:rPr>
        <w:t>关于贵单位、贵司发布</w:t>
      </w:r>
      <w:r>
        <w:rPr>
          <w:rFonts w:hint="eastAsia" w:ascii="宋体" w:hAnsi="宋体"/>
          <w:b/>
          <w:bCs/>
          <w:color w:val="000000"/>
          <w:u w:val="single"/>
        </w:rPr>
        <w:t xml:space="preserve"> 公共卫生检验管理系统2026-2027年运维服务项目</w:t>
      </w:r>
      <w:r>
        <w:rPr>
          <w:rFonts w:hint="eastAsia" w:ascii="宋体" w:hAnsi="宋体"/>
          <w:color w:val="000000"/>
          <w:kern w:val="0"/>
          <w:szCs w:val="21"/>
        </w:rPr>
        <w:t>的</w:t>
      </w:r>
      <w:r>
        <w:rPr>
          <w:rFonts w:hint="eastAsia" w:ascii="宋体" w:hAnsi="宋体"/>
          <w:color w:val="000000"/>
        </w:rPr>
        <w:t>采购公告，本公司（企业）愿意参加</w:t>
      </w:r>
      <w:r>
        <w:rPr>
          <w:rFonts w:hint="eastAsia" w:ascii="宋体" w:hAnsi="宋体"/>
          <w:color w:val="000000"/>
          <w:szCs w:val="21"/>
        </w:rPr>
        <w:t>采购活动</w:t>
      </w:r>
      <w:r>
        <w:rPr>
          <w:rFonts w:hint="eastAsia" w:ascii="宋体" w:hAnsi="宋体"/>
          <w:color w:val="000000"/>
        </w:rPr>
        <w:t>，并承诺：</w:t>
      </w:r>
    </w:p>
    <w:p w14:paraId="55A1159C">
      <w:pPr>
        <w:widowControl/>
        <w:spacing w:line="360" w:lineRule="auto"/>
        <w:ind w:firstLine="420" w:firstLineChars="200"/>
        <w:jc w:val="left"/>
        <w:rPr>
          <w:rFonts w:ascii="宋体" w:hAnsi="宋体"/>
          <w:color w:val="000000"/>
          <w:kern w:val="0"/>
          <w:szCs w:val="21"/>
        </w:rPr>
      </w:pPr>
      <w:r>
        <w:rPr>
          <w:rFonts w:hint="eastAsia" w:ascii="宋体" w:hAnsi="宋体"/>
          <w:color w:val="000000"/>
          <w:kern w:val="0"/>
          <w:szCs w:val="21"/>
        </w:rPr>
        <w:t>本公司（企业）具有履行合同能力；</w:t>
      </w:r>
    </w:p>
    <w:p w14:paraId="23F9CA0B">
      <w:pPr>
        <w:widowControl/>
        <w:spacing w:line="360" w:lineRule="auto"/>
        <w:ind w:firstLine="420"/>
        <w:jc w:val="left"/>
        <w:rPr>
          <w:rFonts w:ascii="宋体" w:hAnsi="宋体"/>
          <w:color w:val="000000"/>
          <w:kern w:val="0"/>
          <w:szCs w:val="21"/>
        </w:rPr>
      </w:pPr>
      <w:r>
        <w:rPr>
          <w:rFonts w:hint="eastAsia" w:ascii="宋体" w:hAnsi="宋体"/>
          <w:color w:val="000000"/>
          <w:kern w:val="0"/>
          <w:szCs w:val="21"/>
        </w:rPr>
        <w:t>本公司（企业）在参加本次采购活动的最近三年内，在经营活动中无违法记录；</w:t>
      </w:r>
    </w:p>
    <w:p w14:paraId="3C112A17">
      <w:pPr>
        <w:widowControl/>
        <w:spacing w:line="360" w:lineRule="auto"/>
        <w:ind w:firstLine="420"/>
        <w:jc w:val="left"/>
        <w:rPr>
          <w:rFonts w:ascii="宋体" w:hAnsi="宋体"/>
          <w:color w:val="000000"/>
          <w:kern w:val="0"/>
          <w:szCs w:val="21"/>
        </w:rPr>
      </w:pPr>
      <w:r>
        <w:rPr>
          <w:rFonts w:hint="eastAsia" w:ascii="宋体" w:hAnsi="宋体"/>
          <w:color w:val="000000"/>
          <w:kern w:val="0"/>
          <w:szCs w:val="21"/>
        </w:rPr>
        <w:t>本公司（企业）不是以联合体的身份参与参评。</w:t>
      </w:r>
    </w:p>
    <w:p w14:paraId="5EC058AF">
      <w:pPr>
        <w:widowControl/>
        <w:spacing w:line="360" w:lineRule="auto"/>
        <w:ind w:firstLine="420"/>
        <w:jc w:val="left"/>
        <w:rPr>
          <w:rFonts w:ascii="宋体" w:hAnsi="宋体"/>
          <w:color w:val="000000"/>
          <w:kern w:val="0"/>
          <w:szCs w:val="21"/>
        </w:rPr>
      </w:pPr>
      <w:r>
        <w:rPr>
          <w:rFonts w:ascii="宋体" w:hAnsi="宋体"/>
          <w:color w:val="000000"/>
          <w:kern w:val="0"/>
          <w:szCs w:val="21"/>
        </w:rPr>
        <w:t>本公司（企业）保证产品质量符合用户需求书要求，符合国家及行业相关规定。</w:t>
      </w:r>
    </w:p>
    <w:p w14:paraId="3AFF2760">
      <w:pPr>
        <w:spacing w:line="360" w:lineRule="auto"/>
        <w:ind w:firstLine="420" w:firstLineChars="200"/>
        <w:rPr>
          <w:rFonts w:ascii="宋体" w:hAnsi="宋体"/>
          <w:color w:val="000000"/>
          <w:szCs w:val="21"/>
        </w:rPr>
      </w:pPr>
      <w:r>
        <w:rPr>
          <w:rFonts w:ascii="宋体" w:hAnsi="宋体"/>
          <w:color w:val="000000"/>
          <w:kern w:val="0"/>
          <w:szCs w:val="21"/>
        </w:rPr>
        <w:t>本公司（企业）如</w:t>
      </w:r>
      <w:r>
        <w:rPr>
          <w:rFonts w:hint="eastAsia" w:ascii="宋体" w:hAnsi="宋体"/>
          <w:color w:val="000000"/>
          <w:szCs w:val="21"/>
        </w:rPr>
        <w:t>提供假冒伪劣、不合格产品的，一经发现，采购人有权要求无条件退换，没收履约保证金或扣（罚）服务费，并终止合同。造成安全事故的，经有关单位鉴定原因后，如确实为</w:t>
      </w:r>
      <w:r>
        <w:rPr>
          <w:rFonts w:ascii="宋体" w:hAnsi="宋体"/>
          <w:color w:val="000000"/>
          <w:kern w:val="0"/>
          <w:szCs w:val="21"/>
        </w:rPr>
        <w:t>本公司（企业）</w:t>
      </w:r>
      <w:r>
        <w:rPr>
          <w:rFonts w:hint="eastAsia" w:ascii="宋体" w:hAnsi="宋体"/>
          <w:color w:val="000000"/>
          <w:szCs w:val="21"/>
        </w:rPr>
        <w:t>提供之物品的问题，</w:t>
      </w:r>
      <w:r>
        <w:rPr>
          <w:rFonts w:ascii="宋体" w:hAnsi="宋体"/>
          <w:color w:val="000000"/>
          <w:kern w:val="0"/>
          <w:szCs w:val="21"/>
        </w:rPr>
        <w:t>本公司（企业）</w:t>
      </w:r>
      <w:r>
        <w:rPr>
          <w:rFonts w:hint="eastAsia" w:ascii="宋体" w:hAnsi="宋体"/>
          <w:color w:val="000000"/>
          <w:szCs w:val="21"/>
        </w:rPr>
        <w:t>同时承担相应的民事及刑事法律责任。</w:t>
      </w:r>
      <w:r>
        <w:rPr>
          <w:rFonts w:ascii="宋体" w:hAnsi="宋体"/>
          <w:color w:val="000000"/>
          <w:kern w:val="0"/>
          <w:szCs w:val="21"/>
        </w:rPr>
        <w:t>本公司（企业）</w:t>
      </w:r>
      <w:r>
        <w:rPr>
          <w:rFonts w:hint="eastAsia" w:ascii="宋体" w:hAnsi="宋体"/>
          <w:color w:val="000000"/>
          <w:szCs w:val="21"/>
        </w:rPr>
        <w:t>不得将项目转包、分包、否则采购人有权据此终止合同，由此产生的一切经济损失由</w:t>
      </w:r>
      <w:r>
        <w:rPr>
          <w:rFonts w:ascii="宋体" w:hAnsi="宋体"/>
          <w:color w:val="000000"/>
          <w:kern w:val="0"/>
          <w:szCs w:val="21"/>
        </w:rPr>
        <w:t>本公司（企业）</w:t>
      </w:r>
      <w:r>
        <w:rPr>
          <w:rFonts w:hint="eastAsia" w:ascii="宋体" w:hAnsi="宋体"/>
          <w:color w:val="000000"/>
          <w:szCs w:val="21"/>
        </w:rPr>
        <w:t>自行承担。</w:t>
      </w:r>
    </w:p>
    <w:p w14:paraId="5B42B648">
      <w:pPr>
        <w:widowControl/>
        <w:spacing w:line="360" w:lineRule="auto"/>
        <w:ind w:firstLine="420"/>
        <w:jc w:val="left"/>
        <w:rPr>
          <w:rFonts w:ascii="宋体" w:hAnsi="宋体"/>
          <w:color w:val="000000"/>
          <w:kern w:val="0"/>
          <w:szCs w:val="21"/>
        </w:rPr>
      </w:pPr>
      <w:r>
        <w:rPr>
          <w:rFonts w:ascii="宋体" w:hAnsi="宋体"/>
          <w:color w:val="000000"/>
          <w:kern w:val="0"/>
          <w:szCs w:val="21"/>
        </w:rPr>
        <w:t>本公司（企业）清楚用户需求书中带“</w:t>
      </w:r>
      <w:r>
        <w:rPr>
          <w:rFonts w:hint="eastAsia" w:ascii="宋体" w:hAnsi="宋体"/>
          <w:b/>
          <w:bCs/>
          <w:color w:val="000000"/>
          <w:szCs w:val="21"/>
        </w:rPr>
        <w:t>★</w:t>
      </w:r>
      <w:r>
        <w:rPr>
          <w:rFonts w:ascii="宋体" w:hAnsi="宋体"/>
          <w:color w:val="000000"/>
          <w:kern w:val="0"/>
          <w:szCs w:val="21"/>
        </w:rPr>
        <w:t>”条款为</w:t>
      </w:r>
      <w:r>
        <w:rPr>
          <w:rFonts w:hint="eastAsia" w:ascii="宋体" w:hAnsi="宋体"/>
          <w:color w:val="000000"/>
          <w:szCs w:val="21"/>
        </w:rPr>
        <w:t>实质性条款</w:t>
      </w:r>
      <w:r>
        <w:rPr>
          <w:rFonts w:ascii="宋体" w:hAnsi="宋体"/>
          <w:color w:val="000000"/>
          <w:kern w:val="0"/>
          <w:szCs w:val="21"/>
        </w:rPr>
        <w:t>，如未完全响应将导致</w:t>
      </w:r>
      <w:r>
        <w:rPr>
          <w:rFonts w:hint="eastAsia" w:ascii="宋体" w:hAnsi="宋体"/>
          <w:color w:val="000000"/>
          <w:kern w:val="0"/>
          <w:szCs w:val="21"/>
        </w:rPr>
        <w:t>响应</w:t>
      </w:r>
      <w:r>
        <w:rPr>
          <w:rFonts w:ascii="宋体" w:hAnsi="宋体"/>
          <w:color w:val="000000"/>
          <w:kern w:val="0"/>
          <w:szCs w:val="21"/>
        </w:rPr>
        <w:t>无效。</w:t>
      </w:r>
    </w:p>
    <w:p w14:paraId="79B67508">
      <w:pPr>
        <w:widowControl/>
        <w:spacing w:line="400" w:lineRule="exact"/>
        <w:ind w:firstLine="420"/>
        <w:jc w:val="left"/>
        <w:rPr>
          <w:rFonts w:ascii="宋体" w:hAnsi="宋体"/>
          <w:color w:val="000000"/>
          <w:kern w:val="0"/>
          <w:szCs w:val="21"/>
        </w:rPr>
      </w:pPr>
      <w:r>
        <w:rPr>
          <w:rFonts w:ascii="宋体" w:hAnsi="宋体"/>
          <w:color w:val="000000"/>
          <w:kern w:val="0"/>
          <w:szCs w:val="21"/>
        </w:rPr>
        <w:t>本公司（企业）若有幸成为成交供应商，承诺按用户需求书要求完成</w:t>
      </w:r>
      <w:r>
        <w:rPr>
          <w:rFonts w:hint="eastAsia" w:ascii="宋体" w:hAnsi="宋体"/>
          <w:color w:val="000000"/>
          <w:kern w:val="0"/>
          <w:szCs w:val="21"/>
        </w:rPr>
        <w:t>项目服务</w:t>
      </w:r>
      <w:r>
        <w:rPr>
          <w:rFonts w:ascii="宋体" w:hAnsi="宋体"/>
          <w:color w:val="000000"/>
          <w:kern w:val="0"/>
          <w:szCs w:val="21"/>
        </w:rPr>
        <w:t>，否则采购单位可取消我司成交资格，以及列入采购不良行为名单</w:t>
      </w:r>
      <w:r>
        <w:rPr>
          <w:rFonts w:hint="eastAsia" w:ascii="宋体" w:hAnsi="宋体"/>
          <w:color w:val="000000"/>
          <w:kern w:val="0"/>
          <w:szCs w:val="21"/>
        </w:rPr>
        <w:t>。</w:t>
      </w:r>
    </w:p>
    <w:p w14:paraId="70E09A35">
      <w:pPr>
        <w:widowControl/>
        <w:spacing w:line="360" w:lineRule="auto"/>
        <w:ind w:firstLine="420"/>
        <w:jc w:val="left"/>
        <w:rPr>
          <w:rFonts w:ascii="宋体" w:hAnsi="宋体"/>
          <w:b/>
          <w:color w:val="000000"/>
          <w:kern w:val="0"/>
          <w:szCs w:val="21"/>
        </w:rPr>
      </w:pPr>
      <w:r>
        <w:rPr>
          <w:rFonts w:hint="eastAsia" w:ascii="宋体" w:hAnsi="宋体"/>
          <w:color w:val="000000"/>
          <w:kern w:val="0"/>
          <w:szCs w:val="21"/>
        </w:rPr>
        <w:t>否则，由此所造成的损失、不良后果及法律责任，一律由我公司（企业）承担。</w:t>
      </w:r>
    </w:p>
    <w:p w14:paraId="488A2000">
      <w:pPr>
        <w:autoSpaceDE w:val="0"/>
        <w:autoSpaceDN w:val="0"/>
        <w:adjustRightInd w:val="0"/>
        <w:spacing w:line="360" w:lineRule="auto"/>
        <w:ind w:firstLine="413" w:firstLineChars="196"/>
        <w:rPr>
          <w:rFonts w:ascii="宋体" w:hAnsi="宋体"/>
          <w:b/>
          <w:color w:val="000000"/>
        </w:rPr>
      </w:pPr>
      <w:r>
        <w:rPr>
          <w:rFonts w:hint="eastAsia" w:ascii="宋体" w:hAnsi="宋体"/>
          <w:b/>
          <w:color w:val="000000"/>
        </w:rPr>
        <w:t>备注：</w:t>
      </w:r>
    </w:p>
    <w:p w14:paraId="16594E5E">
      <w:pPr>
        <w:spacing w:line="360" w:lineRule="auto"/>
        <w:rPr>
          <w:rFonts w:ascii="宋体" w:hAnsi="宋体"/>
          <w:szCs w:val="21"/>
        </w:rPr>
      </w:pPr>
      <w:r>
        <w:rPr>
          <w:rFonts w:hint="eastAsia" w:ascii="宋体" w:hAnsi="宋体"/>
          <w:szCs w:val="21"/>
        </w:rPr>
        <w:t>（1）本承诺函必须提供且内容不得擅自删改，否则视为响应无效。</w:t>
      </w:r>
    </w:p>
    <w:p w14:paraId="0886F563">
      <w:pPr>
        <w:spacing w:line="360" w:lineRule="auto"/>
        <w:rPr>
          <w:rFonts w:ascii="宋体" w:hAnsi="宋体"/>
          <w:szCs w:val="21"/>
        </w:rPr>
      </w:pPr>
      <w:r>
        <w:rPr>
          <w:rFonts w:hint="eastAsia" w:ascii="宋体" w:hAnsi="宋体"/>
          <w:szCs w:val="21"/>
        </w:rPr>
        <w:t>（2）本承诺函如有虚假或与事实不符的，作无效报价处理。</w:t>
      </w:r>
    </w:p>
    <w:p w14:paraId="0EF7A371">
      <w:pPr>
        <w:widowControl/>
        <w:spacing w:line="400" w:lineRule="exact"/>
        <w:jc w:val="left"/>
        <w:rPr>
          <w:rFonts w:ascii="宋体" w:hAnsi="宋体"/>
          <w:color w:val="000000"/>
          <w:kern w:val="0"/>
          <w:szCs w:val="21"/>
        </w:rPr>
      </w:pPr>
    </w:p>
    <w:p w14:paraId="0B083096">
      <w:pPr>
        <w:wordWrap w:val="0"/>
        <w:spacing w:line="360" w:lineRule="auto"/>
        <w:ind w:left="840"/>
        <w:jc w:val="center"/>
        <w:rPr>
          <w:rFonts w:ascii="宋体" w:hAnsi="宋体"/>
          <w:color w:val="000000"/>
          <w:szCs w:val="21"/>
          <w:u w:val="single"/>
        </w:rPr>
      </w:pPr>
      <w:r>
        <w:rPr>
          <w:rFonts w:hint="eastAsia" w:ascii="宋体" w:hAnsi="宋体"/>
          <w:color w:val="000000"/>
          <w:spacing w:val="4"/>
          <w:szCs w:val="21"/>
        </w:rPr>
        <w:t xml:space="preserve">                      供应商名称（</w:t>
      </w:r>
      <w:r>
        <w:rPr>
          <w:rFonts w:hint="eastAsia" w:ascii="宋体" w:hAnsi="宋体"/>
          <w:color w:val="000000"/>
          <w:szCs w:val="21"/>
        </w:rPr>
        <w:t>单位盖</w:t>
      </w:r>
      <w:r>
        <w:rPr>
          <w:rFonts w:hint="eastAsia" w:ascii="宋体" w:hAnsi="宋体"/>
          <w:color w:val="000000"/>
          <w:spacing w:val="4"/>
          <w:szCs w:val="21"/>
        </w:rPr>
        <w:t>公章）：</w:t>
      </w:r>
      <w:r>
        <w:rPr>
          <w:rFonts w:hint="eastAsia" w:ascii="宋体" w:hAnsi="宋体"/>
          <w:color w:val="000000"/>
          <w:spacing w:val="4"/>
          <w:szCs w:val="21"/>
          <w:u w:val="single"/>
        </w:rPr>
        <w:t xml:space="preserve">                  </w:t>
      </w:r>
    </w:p>
    <w:p w14:paraId="2D6F7178">
      <w:pPr>
        <w:spacing w:line="360" w:lineRule="auto"/>
        <w:ind w:left="840"/>
        <w:jc w:val="right"/>
        <w:rPr>
          <w:rFonts w:ascii="宋体" w:hAnsi="宋体"/>
          <w:color w:val="000000"/>
          <w:szCs w:val="21"/>
          <w:u w:val="single"/>
        </w:rPr>
      </w:pPr>
    </w:p>
    <w:p w14:paraId="50D3400C">
      <w:pPr>
        <w:wordWrap w:val="0"/>
        <w:spacing w:line="360" w:lineRule="auto"/>
        <w:ind w:left="840"/>
        <w:jc w:val="center"/>
        <w:rPr>
          <w:rFonts w:ascii="宋体" w:hAnsi="宋体"/>
          <w:color w:val="000000"/>
          <w:spacing w:val="4"/>
          <w:szCs w:val="21"/>
          <w:u w:val="single"/>
        </w:rPr>
      </w:pPr>
      <w:r>
        <w:rPr>
          <w:rFonts w:hint="eastAsia" w:ascii="宋体" w:hAnsi="宋体"/>
          <w:color w:val="000000"/>
          <w:spacing w:val="4"/>
          <w:szCs w:val="21"/>
        </w:rPr>
        <w:t xml:space="preserve">                                       日期：</w:t>
      </w:r>
      <w:r>
        <w:rPr>
          <w:rFonts w:hint="eastAsia" w:ascii="宋体" w:hAnsi="宋体"/>
          <w:color w:val="000000"/>
          <w:spacing w:val="4"/>
          <w:szCs w:val="21"/>
          <w:u w:val="single"/>
        </w:rPr>
        <w:t xml:space="preserve">                  </w:t>
      </w:r>
    </w:p>
    <w:p w14:paraId="5BF02581">
      <w:pPr>
        <w:rPr>
          <w:rFonts w:ascii="宋体" w:hAnsi="宋体"/>
          <w:sz w:val="32"/>
          <w:szCs w:val="32"/>
        </w:rPr>
      </w:pPr>
      <w:r>
        <w:rPr>
          <w:rFonts w:ascii="宋体" w:hAnsi="宋体"/>
          <w:sz w:val="32"/>
          <w:szCs w:val="32"/>
        </w:rPr>
        <w:br w:type="page"/>
      </w:r>
    </w:p>
    <w:p w14:paraId="63979B99">
      <w:pPr>
        <w:keepNext/>
        <w:keepLines/>
        <w:spacing w:before="260" w:after="260" w:line="416" w:lineRule="auto"/>
        <w:jc w:val="center"/>
        <w:outlineLvl w:val="1"/>
        <w:rPr>
          <w:rFonts w:ascii="宋体" w:hAnsi="宋体" w:cs="黑体"/>
          <w:b/>
          <w:bCs/>
          <w:sz w:val="32"/>
          <w:szCs w:val="32"/>
        </w:rPr>
      </w:pPr>
      <w:r>
        <w:rPr>
          <w:rFonts w:hint="eastAsia" w:ascii="宋体" w:hAnsi="宋体" w:cs="黑体"/>
          <w:b/>
          <w:bCs/>
          <w:sz w:val="32"/>
          <w:szCs w:val="32"/>
        </w:rPr>
        <w:t>法定代表人授权委托书</w:t>
      </w:r>
    </w:p>
    <w:p w14:paraId="39E05C12">
      <w:pPr>
        <w:spacing w:line="360" w:lineRule="auto"/>
        <w:ind w:firstLine="420" w:firstLineChars="200"/>
        <w:rPr>
          <w:rFonts w:ascii="宋体" w:hAnsi="宋体" w:cs="黑体"/>
          <w:color w:val="000000"/>
          <w:kern w:val="0"/>
          <w:szCs w:val="21"/>
        </w:rPr>
      </w:pPr>
      <w:r>
        <w:rPr>
          <w:rFonts w:hint="eastAsia" w:ascii="宋体" w:hAnsi="宋体" w:cs="黑体"/>
          <w:color w:val="000000"/>
          <w:kern w:val="0"/>
          <w:szCs w:val="21"/>
        </w:rPr>
        <w:t>本授权委托书声明：注册于</w:t>
      </w:r>
      <w:r>
        <w:rPr>
          <w:rFonts w:hint="eastAsia" w:ascii="宋体" w:hAnsi="宋体" w:cs="黑体"/>
          <w:color w:val="000000"/>
          <w:kern w:val="0"/>
          <w:szCs w:val="21"/>
          <w:u w:val="single"/>
        </w:rPr>
        <w:t xml:space="preserve"> （供应商地址）  </w:t>
      </w:r>
      <w:r>
        <w:rPr>
          <w:rFonts w:hint="eastAsia" w:ascii="宋体" w:hAnsi="宋体" w:cs="黑体"/>
          <w:color w:val="000000"/>
          <w:kern w:val="0"/>
          <w:szCs w:val="21"/>
        </w:rPr>
        <w:t>的</w:t>
      </w:r>
      <w:r>
        <w:rPr>
          <w:rFonts w:hint="eastAsia" w:ascii="宋体" w:hAnsi="宋体" w:cs="黑体"/>
          <w:color w:val="000000"/>
          <w:kern w:val="0"/>
          <w:szCs w:val="21"/>
          <w:u w:val="single"/>
        </w:rPr>
        <w:t xml:space="preserve">  （供应商名称）    </w:t>
      </w:r>
      <w:r>
        <w:rPr>
          <w:rFonts w:hint="eastAsia" w:ascii="宋体" w:hAnsi="宋体" w:cs="黑体"/>
          <w:color w:val="000000"/>
          <w:kern w:val="0"/>
          <w:szCs w:val="21"/>
        </w:rPr>
        <w:t>在下面签名的</w:t>
      </w:r>
      <w:r>
        <w:rPr>
          <w:rFonts w:hint="eastAsia" w:ascii="宋体" w:hAnsi="宋体" w:cs="黑体"/>
          <w:color w:val="000000"/>
          <w:kern w:val="0"/>
          <w:szCs w:val="21"/>
          <w:u w:val="single"/>
        </w:rPr>
        <w:t>（法定代表人姓名、职务）</w:t>
      </w:r>
      <w:r>
        <w:rPr>
          <w:rFonts w:hint="eastAsia" w:ascii="宋体" w:hAnsi="宋体" w:cs="黑体"/>
          <w:color w:val="000000"/>
          <w:kern w:val="0"/>
          <w:szCs w:val="21"/>
        </w:rPr>
        <w:t>在此授权本公司</w:t>
      </w:r>
      <w:r>
        <w:rPr>
          <w:rFonts w:hint="eastAsia" w:ascii="宋体" w:hAnsi="宋体" w:cs="黑体"/>
          <w:color w:val="000000"/>
          <w:kern w:val="0"/>
          <w:szCs w:val="21"/>
          <w:u w:val="single"/>
        </w:rPr>
        <w:t>（被授权人姓名、职务）</w:t>
      </w:r>
      <w:r>
        <w:rPr>
          <w:rFonts w:hint="eastAsia" w:ascii="宋体" w:hAnsi="宋体" w:cs="黑体"/>
          <w:color w:val="000000"/>
          <w:kern w:val="0"/>
          <w:szCs w:val="21"/>
        </w:rPr>
        <w:t>作为我公司的合法代理人，就</w:t>
      </w:r>
      <w:r>
        <w:rPr>
          <w:rFonts w:hint="eastAsia" w:ascii="宋体" w:hAnsi="宋体" w:cs="黑体"/>
          <w:b/>
          <w:bCs/>
          <w:color w:val="000000"/>
          <w:kern w:val="0"/>
          <w:szCs w:val="21"/>
          <w:u w:val="single"/>
        </w:rPr>
        <w:t xml:space="preserve"> 公共卫生检验管理系统2026-2027年运维服务项目</w:t>
      </w:r>
      <w:r>
        <w:rPr>
          <w:rFonts w:hint="eastAsia" w:ascii="宋体" w:hAnsi="宋体" w:cs="黑体"/>
          <w:color w:val="000000"/>
          <w:kern w:val="0"/>
          <w:szCs w:val="21"/>
        </w:rPr>
        <w:t>的</w:t>
      </w:r>
      <w:r>
        <w:rPr>
          <w:rFonts w:hint="eastAsia" w:ascii="宋体" w:hAnsi="宋体" w:cs="黑体"/>
          <w:kern w:val="0"/>
          <w:szCs w:val="21"/>
        </w:rPr>
        <w:t>零散采购项目</w:t>
      </w:r>
      <w:r>
        <w:rPr>
          <w:rFonts w:hint="eastAsia" w:ascii="宋体" w:hAnsi="宋体" w:cs="黑体"/>
          <w:color w:val="000000"/>
          <w:kern w:val="0"/>
          <w:szCs w:val="21"/>
        </w:rPr>
        <w:t>活动，采购合同的签订、执行、完成和售后服务，作为供应商代表以我方的名义处理一切与之有关的事务。</w:t>
      </w:r>
    </w:p>
    <w:p w14:paraId="53A1B86F">
      <w:pPr>
        <w:spacing w:line="360" w:lineRule="auto"/>
        <w:ind w:firstLine="420" w:firstLineChars="200"/>
        <w:rPr>
          <w:rFonts w:ascii="宋体" w:hAnsi="宋体" w:cs="黑体"/>
          <w:color w:val="000000"/>
          <w:kern w:val="0"/>
          <w:szCs w:val="21"/>
        </w:rPr>
      </w:pPr>
      <w:r>
        <w:rPr>
          <w:rFonts w:hint="eastAsia" w:ascii="宋体" w:hAnsi="宋体" w:cs="黑体"/>
          <w:color w:val="000000"/>
          <w:kern w:val="0"/>
          <w:szCs w:val="21"/>
        </w:rPr>
        <w:t>被授权人（供应商授权代表）无转委托权限。</w:t>
      </w:r>
    </w:p>
    <w:p w14:paraId="556278F2">
      <w:pPr>
        <w:spacing w:line="360" w:lineRule="auto"/>
        <w:ind w:firstLine="420" w:firstLineChars="200"/>
        <w:rPr>
          <w:rFonts w:ascii="宋体" w:hAnsi="宋体" w:cs="黑体"/>
          <w:color w:val="000000"/>
          <w:szCs w:val="21"/>
        </w:rPr>
      </w:pPr>
      <w:r>
        <w:rPr>
          <w:rFonts w:hint="eastAsia" w:ascii="宋体" w:hAnsi="宋体" w:cs="黑体"/>
          <w:color w:val="000000"/>
          <w:szCs w:val="21"/>
        </w:rPr>
        <w:t>本授权书自法定代表人签字之日起生效，特此声明。</w:t>
      </w:r>
    </w:p>
    <w:p w14:paraId="6C28B61C">
      <w:pPr>
        <w:spacing w:line="360" w:lineRule="auto"/>
        <w:rPr>
          <w:rFonts w:ascii="宋体" w:hAnsi="宋体" w:cs="黑体"/>
          <w:b/>
          <w:color w:val="000000"/>
          <w:szCs w:val="21"/>
        </w:rPr>
      </w:pPr>
      <w:r>
        <w:rPr>
          <w:rFonts w:hint="eastAsia" w:ascii="宋体" w:hAnsi="宋体" w:cs="黑体"/>
          <w:b/>
          <w:color w:val="000000"/>
          <w:szCs w:val="21"/>
        </w:rPr>
        <w:t>随附1、《法定代表人证明书》；</w:t>
      </w:r>
    </w:p>
    <w:p w14:paraId="08890613">
      <w:pPr>
        <w:spacing w:line="360" w:lineRule="auto"/>
        <w:rPr>
          <w:rFonts w:ascii="宋体" w:hAnsi="宋体" w:cs="黑体"/>
          <w:color w:val="000000"/>
          <w:szCs w:val="21"/>
        </w:rPr>
      </w:pPr>
    </w:p>
    <w:p w14:paraId="11077912">
      <w:pPr>
        <w:spacing w:line="360" w:lineRule="auto"/>
        <w:rPr>
          <w:rFonts w:ascii="宋体" w:hAnsi="宋体" w:cs="黑体"/>
          <w:color w:val="000000"/>
          <w:szCs w:val="21"/>
        </w:rPr>
      </w:pPr>
      <w:r>
        <w:rPr>
          <w:rFonts w:hint="eastAsia" w:ascii="宋体" w:hAnsi="宋体" w:cs="黑体"/>
          <w:color w:val="000000"/>
          <w:szCs w:val="21"/>
        </w:rPr>
        <w:t>供应商名称（盖公章）：</w:t>
      </w:r>
    </w:p>
    <w:p w14:paraId="3EE1223F">
      <w:pPr>
        <w:spacing w:line="360" w:lineRule="auto"/>
        <w:rPr>
          <w:rFonts w:ascii="宋体" w:hAnsi="宋体" w:cs="黑体"/>
          <w:color w:val="000000"/>
          <w:szCs w:val="21"/>
        </w:rPr>
      </w:pPr>
      <w:r>
        <w:rPr>
          <w:rFonts w:hint="eastAsia" w:ascii="宋体" w:hAnsi="宋体" w:cs="黑体"/>
          <w:color w:val="000000"/>
          <w:szCs w:val="21"/>
        </w:rPr>
        <w:t>地      址：</w:t>
      </w:r>
    </w:p>
    <w:p w14:paraId="7A337E9F">
      <w:pPr>
        <w:tabs>
          <w:tab w:val="left" w:pos="3780"/>
        </w:tabs>
        <w:spacing w:line="360" w:lineRule="auto"/>
        <w:rPr>
          <w:rFonts w:ascii="宋体" w:hAnsi="宋体" w:cs="黑体"/>
          <w:color w:val="000000"/>
          <w:szCs w:val="21"/>
        </w:rPr>
      </w:pPr>
      <w:r>
        <w:rPr>
          <w:rFonts w:hint="eastAsia" w:ascii="宋体" w:hAnsi="宋体" w:cs="黑体"/>
          <w:color w:val="000000"/>
          <w:szCs w:val="21"/>
        </w:rPr>
        <w:t>法定代表人（签字或盖章）：                      签字日期：      年   月    日</w:t>
      </w:r>
    </w:p>
    <w:p w14:paraId="2DDF5F55">
      <w:pPr>
        <w:spacing w:line="360" w:lineRule="auto"/>
        <w:rPr>
          <w:rFonts w:ascii="宋体" w:hAnsi="宋体" w:cs="黑体"/>
          <w:color w:val="000000"/>
          <w:szCs w:val="21"/>
        </w:rPr>
      </w:pPr>
      <w:r>
        <w:rPr>
          <w:rFonts w:ascii="宋体" w:hAnsi="宋体" w:cs="黑体"/>
          <w:color w:val="000000"/>
          <w:szCs w:val="21"/>
        </w:rPr>
        <mc:AlternateContent>
          <mc:Choice Requires="wpg">
            <w:drawing>
              <wp:anchor distT="0" distB="0" distL="114300" distR="114300" simplePos="0" relativeHeight="251662336" behindDoc="0" locked="0" layoutInCell="1" allowOverlap="1">
                <wp:simplePos x="0" y="0"/>
                <wp:positionH relativeFrom="column">
                  <wp:posOffset>19050</wp:posOffset>
                </wp:positionH>
                <wp:positionV relativeFrom="paragraph">
                  <wp:posOffset>205740</wp:posOffset>
                </wp:positionV>
                <wp:extent cx="5230495" cy="1603375"/>
                <wp:effectExtent l="0" t="0" r="27305" b="15875"/>
                <wp:wrapNone/>
                <wp:docPr id="8" name="组合 8"/>
                <wp:cNvGraphicFramePr/>
                <a:graphic xmlns:a="http://schemas.openxmlformats.org/drawingml/2006/main">
                  <a:graphicData uri="http://schemas.microsoft.com/office/word/2010/wordprocessingGroup">
                    <wpg:wgp>
                      <wpg:cNvGrpSpPr/>
                      <wpg:grpSpPr>
                        <a:xfrm>
                          <a:off x="0" y="0"/>
                          <a:ext cx="5230495" cy="1603375"/>
                          <a:chOff x="1080" y="8670"/>
                          <a:chExt cx="8900" cy="2509"/>
                        </a:xfrm>
                        <a:effectLst/>
                      </wpg:grpSpPr>
                      <wps:wsp>
                        <wps:cNvPr id="7" name="矩形 3"/>
                        <wps:cNvSpPr/>
                        <wps:spPr>
                          <a:xfrm>
                            <a:off x="1080" y="8670"/>
                            <a:ext cx="4218" cy="25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7B9CD9D">
                              <w:pPr>
                                <w:jc w:val="center"/>
                                <w:rPr>
                                  <w:rFonts w:cs="黑体"/>
                                </w:rPr>
                              </w:pPr>
                              <w:r>
                                <w:rPr>
                                  <w:rFonts w:hint="eastAsia" w:cs="黑体"/>
                                </w:rPr>
                                <w:t>身份证（正面）</w:t>
                              </w:r>
                            </w:p>
                          </w:txbxContent>
                        </wps:txbx>
                        <wps:bodyPr upright="1"/>
                      </wps:wsp>
                      <wps:wsp>
                        <wps:cNvPr id="10" name="矩形 4"/>
                        <wps:cNvSpPr/>
                        <wps:spPr>
                          <a:xfrm>
                            <a:off x="5761" y="8670"/>
                            <a:ext cx="4219" cy="25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90615D3">
                              <w:pPr>
                                <w:jc w:val="center"/>
                                <w:rPr>
                                  <w:rFonts w:cs="黑体"/>
                                </w:rPr>
                              </w:pPr>
                              <w:r>
                                <w:rPr>
                                  <w:rFonts w:hint="eastAsia" w:cs="黑体"/>
                                </w:rPr>
                                <w:t>身份证（反面）</w:t>
                              </w:r>
                            </w:p>
                            <w:p w14:paraId="16986105">
                              <w:pPr>
                                <w:rPr>
                                  <w:rFonts w:cs="黑体"/>
                                </w:rPr>
                              </w:pPr>
                            </w:p>
                          </w:txbxContent>
                        </wps:txbx>
                        <wps:bodyPr upright="1"/>
                      </wps:wsp>
                    </wpg:wgp>
                  </a:graphicData>
                </a:graphic>
              </wp:anchor>
            </w:drawing>
          </mc:Choice>
          <mc:Fallback>
            <w:pict>
              <v:group id="_x0000_s1026" o:spid="_x0000_s1026" o:spt="203" style="position:absolute;left:0pt;margin-left:1.5pt;margin-top:16.2pt;height:126.25pt;width:411.85pt;z-index:251662336;mso-width-relative:page;mso-height-relative:page;" coordorigin="1080,8670" coordsize="8900,2509" o:gfxdata="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B9QN1fZAAAACAEAAA8AAAAAAAAAAQAgAAAAIgAAAGRycy9kb3ducmV2LnhtbFBL&#10;AQIUABQAAAAIAIdO4kCbkY2XoAIAANIHAAAOAAAAAAAAAAEAIAAAACgBAABkcnMvZTJvRG9jLnht&#10;bFBLBQYAAAAABgAGAFkBAAA6BgAAAAA=&#10;">
                <o:lock v:ext="edit" aspectratio="f"/>
                <v:rect id="矩形 3" o:spid="_x0000_s1026" o:spt="1" style="position:absolute;left:1080;top:8670;height:2509;width:4218;"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7B9CD9D">
                        <w:pPr>
                          <w:jc w:val="center"/>
                          <w:rPr>
                            <w:rFonts w:cs="黑体"/>
                          </w:rPr>
                        </w:pPr>
                        <w:r>
                          <w:rPr>
                            <w:rFonts w:hint="eastAsia" w:cs="黑体"/>
                          </w:rPr>
                          <w:t>身份证（正面）</w:t>
                        </w:r>
                      </w:p>
                    </w:txbxContent>
                  </v:textbox>
                </v:rect>
                <v:rect id="矩形 4" o:spid="_x0000_s1026" o:spt="1" style="position:absolute;left:5761;top:8670;height:2509;width:4219;" fillcolor="#FFFFFF" filled="t" stroked="t" coordsize="21600,21600" o:gfxdata="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WcHpG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90615D3">
                        <w:pPr>
                          <w:jc w:val="center"/>
                          <w:rPr>
                            <w:rFonts w:cs="黑体"/>
                          </w:rPr>
                        </w:pPr>
                        <w:r>
                          <w:rPr>
                            <w:rFonts w:hint="eastAsia" w:cs="黑体"/>
                          </w:rPr>
                          <w:t>身份证（反面）</w:t>
                        </w:r>
                      </w:p>
                      <w:p w14:paraId="16986105">
                        <w:pPr>
                          <w:rPr>
                            <w:rFonts w:cs="黑体"/>
                          </w:rPr>
                        </w:pPr>
                      </w:p>
                    </w:txbxContent>
                  </v:textbox>
                </v:rect>
              </v:group>
            </w:pict>
          </mc:Fallback>
        </mc:AlternateContent>
      </w:r>
    </w:p>
    <w:p w14:paraId="545CDA25">
      <w:pPr>
        <w:spacing w:line="360" w:lineRule="auto"/>
        <w:rPr>
          <w:rFonts w:ascii="宋体" w:hAnsi="宋体" w:cs="黑体"/>
          <w:color w:val="000000"/>
          <w:szCs w:val="21"/>
        </w:rPr>
      </w:pPr>
    </w:p>
    <w:p w14:paraId="63240F87">
      <w:pPr>
        <w:spacing w:line="360" w:lineRule="auto"/>
        <w:rPr>
          <w:rFonts w:ascii="宋体" w:hAnsi="宋体" w:cs="黑体"/>
          <w:color w:val="000000"/>
          <w:szCs w:val="21"/>
        </w:rPr>
      </w:pPr>
    </w:p>
    <w:p w14:paraId="502B77E1">
      <w:pPr>
        <w:spacing w:line="360" w:lineRule="auto"/>
        <w:rPr>
          <w:rFonts w:ascii="宋体" w:hAnsi="宋体" w:cs="黑体"/>
          <w:color w:val="000000"/>
          <w:szCs w:val="21"/>
        </w:rPr>
      </w:pPr>
    </w:p>
    <w:p w14:paraId="72C02841">
      <w:pPr>
        <w:spacing w:line="360" w:lineRule="auto"/>
        <w:rPr>
          <w:rFonts w:ascii="宋体" w:hAnsi="宋体" w:cs="黑体"/>
          <w:color w:val="000000"/>
          <w:szCs w:val="21"/>
        </w:rPr>
      </w:pPr>
    </w:p>
    <w:p w14:paraId="5A45FC9A">
      <w:pPr>
        <w:spacing w:line="360" w:lineRule="auto"/>
        <w:rPr>
          <w:rFonts w:ascii="宋体" w:hAnsi="宋体" w:cs="黑体"/>
          <w:color w:val="000000"/>
          <w:szCs w:val="21"/>
        </w:rPr>
      </w:pPr>
    </w:p>
    <w:p w14:paraId="4C6E4BE9">
      <w:pPr>
        <w:spacing w:line="360" w:lineRule="auto"/>
        <w:rPr>
          <w:rFonts w:ascii="宋体" w:hAnsi="宋体" w:cs="黑体"/>
          <w:color w:val="000000"/>
          <w:szCs w:val="21"/>
        </w:rPr>
      </w:pPr>
    </w:p>
    <w:p w14:paraId="72299FB2">
      <w:pPr>
        <w:spacing w:after="120"/>
        <w:ind w:left="420" w:leftChars="200" w:firstLine="420" w:firstLineChars="200"/>
        <w:rPr>
          <w:rFonts w:ascii="宋体" w:hAnsi="宋体" w:cs="黑体"/>
          <w:color w:val="000000"/>
          <w:szCs w:val="21"/>
        </w:rPr>
      </w:pPr>
    </w:p>
    <w:p w14:paraId="5CABE60F">
      <w:pPr>
        <w:spacing w:after="120"/>
        <w:ind w:left="420" w:leftChars="200" w:firstLine="420" w:firstLineChars="200"/>
        <w:rPr>
          <w:rFonts w:ascii="宋体" w:hAnsi="宋体" w:cs="黑体"/>
          <w:color w:val="000000"/>
          <w:szCs w:val="21"/>
        </w:rPr>
      </w:pPr>
    </w:p>
    <w:p w14:paraId="220AA10B">
      <w:pPr>
        <w:spacing w:after="120"/>
        <w:ind w:left="420" w:leftChars="200" w:firstLine="420" w:firstLineChars="200"/>
        <w:rPr>
          <w:rFonts w:ascii="宋体" w:hAnsi="宋体" w:cs="黑体"/>
          <w:color w:val="000000"/>
          <w:szCs w:val="21"/>
        </w:rPr>
      </w:pPr>
    </w:p>
    <w:p w14:paraId="5B93CBAA">
      <w:pPr>
        <w:spacing w:after="120"/>
        <w:rPr>
          <w:rFonts w:ascii="Times New Roman" w:hAnsi="Times New Roman"/>
        </w:rPr>
      </w:pPr>
      <w:r>
        <w:rPr>
          <w:rFonts w:ascii="宋体" w:hAnsi="宋体"/>
          <w:color w:val="000000"/>
          <w:szCs w:val="21"/>
        </w:rPr>
        <w:br w:type="page"/>
      </w:r>
    </w:p>
    <w:p w14:paraId="63212E06">
      <w:pPr>
        <w:keepNext/>
        <w:keepLines/>
        <w:spacing w:before="260" w:after="260" w:line="416" w:lineRule="auto"/>
        <w:jc w:val="center"/>
        <w:outlineLvl w:val="1"/>
        <w:rPr>
          <w:rFonts w:ascii="宋体" w:hAnsi="宋体" w:cs="黑体"/>
          <w:b/>
          <w:bCs/>
          <w:sz w:val="32"/>
          <w:szCs w:val="32"/>
        </w:rPr>
      </w:pPr>
      <w:r>
        <w:rPr>
          <w:rFonts w:hint="eastAsia" w:ascii="宋体" w:hAnsi="宋体" w:cs="黑体"/>
          <w:b/>
          <w:bCs/>
          <w:sz w:val="32"/>
          <w:szCs w:val="32"/>
        </w:rPr>
        <w:t>法定代表人证明书</w:t>
      </w:r>
    </w:p>
    <w:p w14:paraId="6C5E0C26">
      <w:pPr>
        <w:tabs>
          <w:tab w:val="left" w:pos="900"/>
        </w:tabs>
        <w:spacing w:line="480" w:lineRule="auto"/>
        <w:ind w:firstLine="1050" w:firstLineChars="500"/>
        <w:rPr>
          <w:rFonts w:ascii="宋体" w:hAnsi="宋体" w:cs="黑体"/>
          <w:color w:val="000000"/>
          <w:szCs w:val="21"/>
        </w:rPr>
      </w:pPr>
      <w:r>
        <w:rPr>
          <w:rFonts w:hint="eastAsia" w:ascii="宋体" w:hAnsi="宋体" w:cs="黑体"/>
          <w:color w:val="000000"/>
          <w:szCs w:val="21"/>
        </w:rPr>
        <w:t>______同志，现任我单位____职务，为法定代表人，特此证明。</w:t>
      </w:r>
    </w:p>
    <w:p w14:paraId="762A92B4">
      <w:pPr>
        <w:spacing w:line="480" w:lineRule="auto"/>
        <w:ind w:firstLine="420" w:firstLineChars="200"/>
        <w:rPr>
          <w:rFonts w:ascii="宋体" w:hAnsi="宋体" w:cs="黑体"/>
          <w:color w:val="000000"/>
          <w:szCs w:val="21"/>
        </w:rPr>
      </w:pPr>
      <w:r>
        <w:rPr>
          <w:rFonts w:hint="eastAsia" w:ascii="宋体" w:hAnsi="宋体" w:cs="黑体"/>
          <w:color w:val="000000"/>
          <w:szCs w:val="21"/>
        </w:rPr>
        <w:t>本证明书自签发之日起生效，有效期与本公司参与</w:t>
      </w:r>
      <w:r>
        <w:rPr>
          <w:rFonts w:hint="eastAsia" w:ascii="宋体" w:hAnsi="宋体" w:cs="黑体"/>
        </w:rPr>
        <w:t>零散采购</w:t>
      </w:r>
      <w:r>
        <w:rPr>
          <w:rFonts w:hint="eastAsia" w:ascii="宋体" w:hAnsi="宋体" w:cs="黑体"/>
          <w:color w:val="000000"/>
          <w:szCs w:val="21"/>
        </w:rPr>
        <w:t>的文件中标注的有效期相同。</w:t>
      </w:r>
    </w:p>
    <w:p w14:paraId="27A4B5F0">
      <w:pPr>
        <w:spacing w:line="480" w:lineRule="auto"/>
        <w:ind w:firstLine="420" w:firstLineChars="200"/>
        <w:rPr>
          <w:rFonts w:ascii="宋体" w:hAnsi="宋体" w:cs="黑体"/>
          <w:color w:val="000000"/>
          <w:szCs w:val="21"/>
        </w:rPr>
      </w:pPr>
      <w:r>
        <w:rPr>
          <w:rFonts w:hint="eastAsia" w:ascii="宋体" w:hAnsi="宋体" w:cs="黑体"/>
          <w:color w:val="000000"/>
          <w:szCs w:val="21"/>
        </w:rPr>
        <w:t>附：</w:t>
      </w:r>
    </w:p>
    <w:p w14:paraId="585F478D">
      <w:pPr>
        <w:spacing w:line="480" w:lineRule="auto"/>
        <w:ind w:firstLine="840" w:firstLineChars="400"/>
        <w:rPr>
          <w:rFonts w:ascii="宋体" w:hAnsi="宋体" w:cs="黑体"/>
          <w:color w:val="000000"/>
          <w:szCs w:val="21"/>
        </w:rPr>
      </w:pPr>
      <w:r>
        <w:rPr>
          <w:rFonts w:hint="eastAsia" w:ascii="宋体" w:hAnsi="宋体" w:cs="黑体"/>
          <w:color w:val="000000"/>
          <w:szCs w:val="21"/>
        </w:rPr>
        <w:t xml:space="preserve">营业执照（注册号）： </w:t>
      </w:r>
    </w:p>
    <w:p w14:paraId="266ADB2E">
      <w:pPr>
        <w:spacing w:line="480" w:lineRule="auto"/>
        <w:ind w:firstLine="840" w:firstLineChars="400"/>
        <w:rPr>
          <w:rFonts w:ascii="宋体" w:hAnsi="宋体" w:cs="黑体"/>
          <w:color w:val="000000"/>
          <w:szCs w:val="21"/>
        </w:rPr>
      </w:pPr>
      <w:r>
        <w:rPr>
          <w:rFonts w:hint="eastAsia" w:ascii="宋体" w:hAnsi="宋体" w:cs="黑体"/>
          <w:color w:val="000000"/>
          <w:szCs w:val="21"/>
        </w:rPr>
        <w:t>经济性质：</w:t>
      </w:r>
    </w:p>
    <w:p w14:paraId="68C8BDA9">
      <w:pPr>
        <w:spacing w:line="480" w:lineRule="auto"/>
        <w:ind w:firstLine="840" w:firstLineChars="400"/>
        <w:rPr>
          <w:rFonts w:ascii="宋体" w:hAnsi="宋体" w:cs="黑体"/>
          <w:color w:val="000000"/>
          <w:szCs w:val="21"/>
        </w:rPr>
      </w:pPr>
      <w:r>
        <w:rPr>
          <w:rFonts w:hint="eastAsia" w:ascii="宋体" w:hAnsi="宋体" w:cs="黑体"/>
          <w:color w:val="000000"/>
          <w:szCs w:val="21"/>
        </w:rPr>
        <w:t>主营（产）：</w:t>
      </w:r>
    </w:p>
    <w:p w14:paraId="6A71A65E">
      <w:pPr>
        <w:spacing w:line="480" w:lineRule="auto"/>
        <w:ind w:firstLine="840" w:firstLineChars="400"/>
        <w:rPr>
          <w:rFonts w:ascii="宋体" w:hAnsi="宋体" w:cs="黑体"/>
          <w:color w:val="000000"/>
          <w:szCs w:val="21"/>
        </w:rPr>
      </w:pPr>
      <w:r>
        <w:rPr>
          <w:rFonts w:hint="eastAsia" w:ascii="宋体" w:hAnsi="宋体" w:cs="黑体"/>
          <w:color w:val="000000"/>
          <w:szCs w:val="21"/>
        </w:rPr>
        <w:t>兼营（产）：</w:t>
      </w:r>
    </w:p>
    <w:p w14:paraId="1264CA0C">
      <w:pPr>
        <w:spacing w:line="480" w:lineRule="auto"/>
        <w:ind w:firstLine="840" w:firstLineChars="400"/>
        <w:rPr>
          <w:rFonts w:ascii="宋体" w:hAnsi="宋体" w:cs="黑体"/>
          <w:color w:val="000000"/>
          <w:szCs w:val="21"/>
        </w:rPr>
      </w:pPr>
      <w:r>
        <w:rPr>
          <w:rFonts w:ascii="宋体" w:hAnsi="宋体" w:cs="黑体"/>
          <w:color w:val="000000"/>
          <w:szCs w:val="21"/>
        </w:rPr>
        <mc:AlternateContent>
          <mc:Choice Requires="wpg">
            <w:drawing>
              <wp:anchor distT="0" distB="0" distL="114300" distR="114300" simplePos="0" relativeHeight="251661312" behindDoc="0" locked="0" layoutInCell="1" allowOverlap="1">
                <wp:simplePos x="0" y="0"/>
                <wp:positionH relativeFrom="column">
                  <wp:posOffset>-635</wp:posOffset>
                </wp:positionH>
                <wp:positionV relativeFrom="paragraph">
                  <wp:posOffset>233045</wp:posOffset>
                </wp:positionV>
                <wp:extent cx="5281930" cy="1762125"/>
                <wp:effectExtent l="0" t="0" r="13970" b="28575"/>
                <wp:wrapNone/>
                <wp:docPr id="9" name="组合 9"/>
                <wp:cNvGraphicFramePr/>
                <a:graphic xmlns:a="http://schemas.openxmlformats.org/drawingml/2006/main">
                  <a:graphicData uri="http://schemas.microsoft.com/office/word/2010/wordprocessingGroup">
                    <wpg:wgp>
                      <wpg:cNvGrpSpPr/>
                      <wpg:grpSpPr>
                        <a:xfrm>
                          <a:off x="0" y="0"/>
                          <a:ext cx="5281930" cy="1762125"/>
                          <a:chOff x="1146" y="7566"/>
                          <a:chExt cx="8717" cy="2609"/>
                        </a:xfrm>
                        <a:effectLst/>
                      </wpg:grpSpPr>
                      <wps:wsp>
                        <wps:cNvPr id="5" name="矩形 6"/>
                        <wps:cNvSpPr/>
                        <wps:spPr>
                          <a:xfrm>
                            <a:off x="1146" y="7566"/>
                            <a:ext cx="4166" cy="26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76E2D4B">
                              <w:pPr>
                                <w:jc w:val="center"/>
                                <w:rPr>
                                  <w:rFonts w:cs="黑体"/>
                                </w:rPr>
                              </w:pPr>
                              <w:r>
                                <w:rPr>
                                  <w:rFonts w:hint="eastAsia" w:cs="黑体"/>
                                </w:rPr>
                                <w:t>身份证（正面）</w:t>
                              </w:r>
                            </w:p>
                            <w:p w14:paraId="6E3EB65C">
                              <w:pPr>
                                <w:ind w:firstLine="1050" w:firstLineChars="500"/>
                                <w:rPr>
                                  <w:rFonts w:cs="黑体"/>
                                </w:rPr>
                              </w:pPr>
                            </w:p>
                          </w:txbxContent>
                        </wps:txbx>
                        <wps:bodyPr upright="1"/>
                      </wps:wsp>
                      <wps:wsp>
                        <wps:cNvPr id="6" name="矩形 7"/>
                        <wps:cNvSpPr/>
                        <wps:spPr>
                          <a:xfrm>
                            <a:off x="5719" y="7566"/>
                            <a:ext cx="4144" cy="26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6D8C084">
                              <w:pPr>
                                <w:jc w:val="center"/>
                                <w:rPr>
                                  <w:rFonts w:cs="黑体"/>
                                </w:rPr>
                              </w:pPr>
                              <w:r>
                                <w:rPr>
                                  <w:rFonts w:hint="eastAsia" w:cs="黑体"/>
                                </w:rPr>
                                <w:t>身份证（反面）</w:t>
                              </w:r>
                            </w:p>
                            <w:p w14:paraId="5F4B5777">
                              <w:pPr>
                                <w:ind w:firstLine="1050" w:firstLineChars="500"/>
                                <w:rPr>
                                  <w:rFonts w:cs="黑体"/>
                                </w:rPr>
                              </w:pPr>
                            </w:p>
                          </w:txbxContent>
                        </wps:txbx>
                        <wps:bodyPr upright="1"/>
                      </wps:wsp>
                    </wpg:wgp>
                  </a:graphicData>
                </a:graphic>
              </wp:anchor>
            </w:drawing>
          </mc:Choice>
          <mc:Fallback>
            <w:pict>
              <v:group id="_x0000_s1026" o:spid="_x0000_s1026" o:spt="203" style="position:absolute;left:0pt;margin-left:-0.05pt;margin-top:18.35pt;height:138.75pt;width:415.9pt;z-index:251661312;mso-width-relative:page;mso-height-relative:page;" coordorigin="1146,7566" coordsize="8717,2609" o:gfxdata="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DMCrY+2QAAAAgBAAAPAAAAAAAAAAEAIAAAACIAAABkcnMvZG93bnJldi54bWxQSwEC&#10;FAAUAAAACACHTuJASiOm754CAADRBwAADgAAAAAAAAABACAAAAAoAQAAZHJzL2Uyb0RvYy54bWxQ&#10;SwUGAAAAAAYABgBZAQAAOAYAAAAA&#10;">
                <o:lock v:ext="edit" aspectratio="f"/>
                <v:rect id="矩形 6" o:spid="_x0000_s1026" o:spt="1" style="position:absolute;left:1146;top:7566;height:2609;width:4166;"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376E2D4B">
                        <w:pPr>
                          <w:jc w:val="center"/>
                          <w:rPr>
                            <w:rFonts w:cs="黑体"/>
                          </w:rPr>
                        </w:pPr>
                        <w:r>
                          <w:rPr>
                            <w:rFonts w:hint="eastAsia" w:cs="黑体"/>
                          </w:rPr>
                          <w:t>身份证（正面）</w:t>
                        </w:r>
                      </w:p>
                      <w:p w14:paraId="6E3EB65C">
                        <w:pPr>
                          <w:ind w:firstLine="1050" w:firstLineChars="500"/>
                          <w:rPr>
                            <w:rFonts w:cs="黑体"/>
                          </w:rPr>
                        </w:pPr>
                      </w:p>
                    </w:txbxContent>
                  </v:textbox>
                </v:rect>
                <v:rect id="矩形 7" o:spid="_x0000_s1026" o:spt="1" style="position:absolute;left:5719;top:7566;height:2609;width:4144;"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36D8C084">
                        <w:pPr>
                          <w:jc w:val="center"/>
                          <w:rPr>
                            <w:rFonts w:cs="黑体"/>
                          </w:rPr>
                        </w:pPr>
                        <w:r>
                          <w:rPr>
                            <w:rFonts w:hint="eastAsia" w:cs="黑体"/>
                          </w:rPr>
                          <w:t>身份证（反面）</w:t>
                        </w:r>
                      </w:p>
                      <w:p w14:paraId="5F4B5777">
                        <w:pPr>
                          <w:ind w:firstLine="1050" w:firstLineChars="500"/>
                          <w:rPr>
                            <w:rFonts w:cs="黑体"/>
                          </w:rPr>
                        </w:pPr>
                      </w:p>
                    </w:txbxContent>
                  </v:textbox>
                </v:rect>
              </v:group>
            </w:pict>
          </mc:Fallback>
        </mc:AlternateContent>
      </w:r>
    </w:p>
    <w:p w14:paraId="1B088274">
      <w:pPr>
        <w:spacing w:line="500" w:lineRule="exact"/>
        <w:rPr>
          <w:rFonts w:ascii="宋体" w:hAnsi="宋体" w:cs="黑体"/>
          <w:b/>
          <w:bCs/>
          <w:color w:val="000000"/>
          <w:szCs w:val="21"/>
        </w:rPr>
      </w:pPr>
    </w:p>
    <w:p w14:paraId="578848B1">
      <w:pPr>
        <w:spacing w:line="500" w:lineRule="exact"/>
        <w:rPr>
          <w:rFonts w:ascii="宋体" w:hAnsi="宋体" w:cs="黑体"/>
          <w:b/>
          <w:bCs/>
          <w:color w:val="000000"/>
          <w:szCs w:val="21"/>
        </w:rPr>
      </w:pPr>
    </w:p>
    <w:p w14:paraId="59A6D139">
      <w:pPr>
        <w:spacing w:line="500" w:lineRule="exact"/>
        <w:rPr>
          <w:rFonts w:ascii="宋体" w:hAnsi="宋体" w:cs="黑体"/>
          <w:b/>
          <w:bCs/>
          <w:color w:val="000000"/>
        </w:rPr>
      </w:pPr>
    </w:p>
    <w:p w14:paraId="60BA9295">
      <w:pPr>
        <w:spacing w:line="500" w:lineRule="exact"/>
        <w:rPr>
          <w:rFonts w:ascii="宋体" w:hAnsi="宋体" w:cs="黑体"/>
          <w:b/>
          <w:bCs/>
          <w:color w:val="000000"/>
        </w:rPr>
      </w:pPr>
    </w:p>
    <w:p w14:paraId="44F6AA7D">
      <w:pPr>
        <w:spacing w:line="500" w:lineRule="exact"/>
        <w:rPr>
          <w:rFonts w:ascii="宋体" w:hAnsi="宋体" w:cs="黑体"/>
          <w:b/>
          <w:bCs/>
          <w:color w:val="000000"/>
        </w:rPr>
      </w:pPr>
    </w:p>
    <w:p w14:paraId="25DD945E">
      <w:pPr>
        <w:spacing w:line="500" w:lineRule="exact"/>
        <w:rPr>
          <w:rFonts w:ascii="宋体" w:hAnsi="宋体" w:cs="黑体"/>
          <w:b/>
          <w:bCs/>
          <w:color w:val="000000"/>
        </w:rPr>
      </w:pPr>
    </w:p>
    <w:p w14:paraId="0325B413">
      <w:pPr>
        <w:spacing w:line="500" w:lineRule="exact"/>
        <w:rPr>
          <w:rFonts w:ascii="宋体" w:hAnsi="宋体" w:cs="黑体"/>
          <w:b/>
          <w:bCs/>
          <w:color w:val="000000"/>
        </w:rPr>
      </w:pPr>
    </w:p>
    <w:p w14:paraId="27684CC1">
      <w:pPr>
        <w:spacing w:line="500" w:lineRule="exact"/>
        <w:rPr>
          <w:rFonts w:ascii="宋体" w:hAnsi="宋体" w:cs="黑体"/>
          <w:color w:val="000000"/>
          <w:szCs w:val="21"/>
        </w:rPr>
      </w:pPr>
      <w:r>
        <w:rPr>
          <w:rFonts w:hint="eastAsia" w:ascii="宋体" w:hAnsi="宋体" w:cs="黑体"/>
          <w:color w:val="000000"/>
          <w:szCs w:val="21"/>
        </w:rPr>
        <w:t>供应商名称：（盖公章）：</w:t>
      </w:r>
    </w:p>
    <w:p w14:paraId="7A83A5BA">
      <w:pPr>
        <w:spacing w:line="500" w:lineRule="exact"/>
        <w:rPr>
          <w:rFonts w:ascii="宋体" w:hAnsi="宋体" w:cs="黑体"/>
          <w:color w:val="000000"/>
          <w:szCs w:val="21"/>
        </w:rPr>
      </w:pPr>
      <w:r>
        <w:rPr>
          <w:rFonts w:hint="eastAsia" w:ascii="宋体" w:hAnsi="宋体" w:cs="黑体"/>
          <w:color w:val="000000"/>
          <w:szCs w:val="21"/>
        </w:rPr>
        <w:t>地址：</w:t>
      </w:r>
    </w:p>
    <w:p w14:paraId="7C4C0188">
      <w:pPr>
        <w:spacing w:line="500" w:lineRule="exact"/>
        <w:rPr>
          <w:rFonts w:ascii="宋体" w:hAnsi="宋体" w:cs="黑体"/>
          <w:color w:val="000000"/>
          <w:szCs w:val="21"/>
        </w:rPr>
      </w:pPr>
      <w:r>
        <w:rPr>
          <w:rFonts w:hint="eastAsia" w:ascii="宋体" w:hAnsi="宋体" w:cs="黑体"/>
          <w:color w:val="000000"/>
          <w:szCs w:val="21"/>
        </w:rPr>
        <w:t>日期：</w:t>
      </w:r>
    </w:p>
    <w:p w14:paraId="20DE30A2"/>
    <w:p w14:paraId="3434DE1B">
      <w:r>
        <w:br w:type="page"/>
      </w:r>
    </w:p>
    <w:p w14:paraId="2A10E670">
      <w:pPr>
        <w:spacing w:line="360" w:lineRule="auto"/>
        <w:jc w:val="center"/>
        <w:rPr>
          <w:rFonts w:ascii="宋体" w:hAnsi="宋体" w:cs="宋体"/>
        </w:rPr>
      </w:pPr>
    </w:p>
    <w:p w14:paraId="65254969">
      <w:pPr>
        <w:spacing w:line="360" w:lineRule="auto"/>
        <w:jc w:val="center"/>
        <w:rPr>
          <w:rFonts w:ascii="宋体" w:hAnsi="宋体" w:cs="宋体"/>
        </w:rPr>
      </w:pPr>
    </w:p>
    <w:p w14:paraId="67E7276C">
      <w:pPr>
        <w:spacing w:line="360" w:lineRule="auto"/>
        <w:jc w:val="center"/>
        <w:rPr>
          <w:rFonts w:asciiTheme="minorEastAsia" w:hAnsiTheme="minorEastAsia" w:eastAsiaTheme="minorEastAsia" w:cstheme="minorEastAsia"/>
        </w:rPr>
      </w:pPr>
    </w:p>
    <w:p w14:paraId="2CE0E609">
      <w:pPr>
        <w:keepNext/>
        <w:keepLines/>
        <w:spacing w:line="360" w:lineRule="auto"/>
        <w:jc w:val="center"/>
        <w:outlineLvl w:val="0"/>
        <w:rPr>
          <w:rFonts w:asciiTheme="minorEastAsia" w:hAnsiTheme="minorEastAsia" w:eastAsiaTheme="minorEastAsia" w:cstheme="minorEastAsia"/>
          <w:kern w:val="44"/>
          <w:sz w:val="52"/>
          <w:szCs w:val="52"/>
        </w:rPr>
      </w:pPr>
      <w:r>
        <w:rPr>
          <w:rFonts w:hint="eastAsia" w:asciiTheme="minorEastAsia" w:hAnsiTheme="minorEastAsia" w:eastAsiaTheme="minorEastAsia" w:cstheme="minorEastAsia"/>
          <w:kern w:val="44"/>
          <w:sz w:val="52"/>
          <w:szCs w:val="52"/>
        </w:rPr>
        <w:t>公共卫生检验管理系统</w:t>
      </w:r>
    </w:p>
    <w:p w14:paraId="213C265A">
      <w:pPr>
        <w:keepNext/>
        <w:keepLines/>
        <w:spacing w:line="360" w:lineRule="auto"/>
        <w:jc w:val="center"/>
        <w:outlineLvl w:val="0"/>
        <w:rPr>
          <w:rFonts w:asciiTheme="minorEastAsia" w:hAnsiTheme="minorEastAsia" w:eastAsiaTheme="minorEastAsia" w:cstheme="minorEastAsia"/>
          <w:kern w:val="44"/>
          <w:sz w:val="52"/>
          <w:szCs w:val="52"/>
        </w:rPr>
      </w:pPr>
      <w:r>
        <w:rPr>
          <w:rFonts w:hint="eastAsia" w:asciiTheme="minorEastAsia" w:hAnsiTheme="minorEastAsia" w:eastAsiaTheme="minorEastAsia" w:cstheme="minorEastAsia"/>
          <w:kern w:val="44"/>
          <w:sz w:val="52"/>
          <w:szCs w:val="52"/>
        </w:rPr>
        <w:t>2026-2027年运维服务项目合同</w:t>
      </w:r>
    </w:p>
    <w:p w14:paraId="7F8ED4E3">
      <w:pPr>
        <w:spacing w:line="360" w:lineRule="auto"/>
        <w:rPr>
          <w:rFonts w:asciiTheme="minorEastAsia" w:hAnsiTheme="minorEastAsia" w:eastAsiaTheme="minorEastAsia" w:cstheme="minorEastAsia"/>
          <w:sz w:val="32"/>
          <w:szCs w:val="32"/>
        </w:rPr>
      </w:pPr>
    </w:p>
    <w:p w14:paraId="17FAABD9">
      <w:pPr>
        <w:spacing w:line="360" w:lineRule="auto"/>
        <w:rPr>
          <w:rFonts w:asciiTheme="minorEastAsia" w:hAnsiTheme="minorEastAsia" w:eastAsiaTheme="minorEastAsia" w:cstheme="minorEastAsia"/>
          <w:sz w:val="32"/>
          <w:szCs w:val="32"/>
        </w:rPr>
      </w:pPr>
    </w:p>
    <w:p w14:paraId="7047C7FB">
      <w:pPr>
        <w:spacing w:line="360" w:lineRule="auto"/>
        <w:rPr>
          <w:rFonts w:asciiTheme="minorEastAsia" w:hAnsiTheme="minorEastAsia" w:eastAsiaTheme="minorEastAsia" w:cstheme="minorEastAsia"/>
          <w:sz w:val="32"/>
          <w:szCs w:val="32"/>
        </w:rPr>
      </w:pPr>
    </w:p>
    <w:p w14:paraId="67125757">
      <w:pPr>
        <w:spacing w:line="360" w:lineRule="auto"/>
        <w:rPr>
          <w:rFonts w:asciiTheme="minorEastAsia" w:hAnsiTheme="minorEastAsia" w:eastAsiaTheme="minorEastAsia" w:cstheme="minorEastAsia"/>
          <w:sz w:val="32"/>
          <w:szCs w:val="32"/>
        </w:rPr>
      </w:pPr>
    </w:p>
    <w:p w14:paraId="53E4DF66">
      <w:pPr>
        <w:spacing w:line="360" w:lineRule="auto"/>
        <w:rPr>
          <w:rFonts w:asciiTheme="minorEastAsia" w:hAnsiTheme="minorEastAsia" w:eastAsiaTheme="minorEastAsia" w:cstheme="minorEastAsia"/>
          <w:sz w:val="32"/>
          <w:szCs w:val="32"/>
        </w:rPr>
      </w:pPr>
    </w:p>
    <w:p w14:paraId="39358016">
      <w:pPr>
        <w:spacing w:line="360" w:lineRule="auto"/>
        <w:ind w:firstLine="540" w:firstLineChars="150"/>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甲方：东莞市疾病预防控制中心（东莞市卫生监督所）</w:t>
      </w:r>
    </w:p>
    <w:p w14:paraId="509B1DD5">
      <w:pPr>
        <w:spacing w:line="360" w:lineRule="auto"/>
        <w:ind w:firstLine="540" w:firstLineChars="150"/>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乙方： </w:t>
      </w:r>
    </w:p>
    <w:p w14:paraId="75141998">
      <w:pPr>
        <w:spacing w:line="360" w:lineRule="auto"/>
        <w:ind w:firstLine="540" w:firstLineChars="150"/>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合同编号：</w:t>
      </w:r>
    </w:p>
    <w:p w14:paraId="7C4F59C7">
      <w:pPr>
        <w:spacing w:line="360" w:lineRule="auto"/>
        <w:rPr>
          <w:rFonts w:asciiTheme="minorEastAsia" w:hAnsiTheme="minorEastAsia" w:eastAsiaTheme="minorEastAsia" w:cstheme="minorEastAsia"/>
          <w:sz w:val="36"/>
          <w:szCs w:val="36"/>
        </w:rPr>
      </w:pPr>
    </w:p>
    <w:p w14:paraId="50FAB06B">
      <w:pPr>
        <w:spacing w:line="360" w:lineRule="auto"/>
        <w:rPr>
          <w:rFonts w:asciiTheme="minorEastAsia" w:hAnsiTheme="minorEastAsia" w:eastAsiaTheme="minorEastAsia" w:cstheme="minorEastAsia"/>
          <w:sz w:val="32"/>
          <w:szCs w:val="32"/>
        </w:rPr>
      </w:pPr>
    </w:p>
    <w:p w14:paraId="1D02A45D">
      <w:pPr>
        <w:spacing w:line="360" w:lineRule="auto"/>
        <w:ind w:firstLine="480" w:firstLineChars="200"/>
        <w:rPr>
          <w:rFonts w:asciiTheme="minorEastAsia" w:hAnsiTheme="minorEastAsia" w:eastAsiaTheme="minorEastAsia" w:cstheme="minorEastAsia"/>
          <w:sz w:val="24"/>
        </w:rPr>
      </w:pPr>
    </w:p>
    <w:p w14:paraId="351683B3">
      <w:pPr>
        <w:spacing w:line="360" w:lineRule="auto"/>
        <w:ind w:firstLine="480" w:firstLineChars="200"/>
        <w:rPr>
          <w:rFonts w:asciiTheme="minorEastAsia" w:hAnsiTheme="minorEastAsia" w:eastAsiaTheme="minorEastAsia" w:cstheme="minorEastAsia"/>
          <w:sz w:val="24"/>
        </w:rPr>
      </w:pPr>
    </w:p>
    <w:p w14:paraId="72ADD2EB">
      <w:pPr>
        <w:spacing w:line="360" w:lineRule="auto"/>
        <w:ind w:firstLine="480" w:firstLineChars="200"/>
        <w:rPr>
          <w:rFonts w:asciiTheme="minorEastAsia" w:hAnsiTheme="minorEastAsia" w:eastAsiaTheme="minorEastAsia" w:cstheme="minorEastAsia"/>
          <w:sz w:val="24"/>
        </w:rPr>
      </w:pPr>
    </w:p>
    <w:p w14:paraId="1C9A9E35">
      <w:pPr>
        <w:spacing w:line="360" w:lineRule="auto"/>
        <w:ind w:firstLine="480" w:firstLineChars="200"/>
        <w:rPr>
          <w:rFonts w:asciiTheme="minorEastAsia" w:hAnsiTheme="minorEastAsia" w:eastAsiaTheme="minorEastAsia" w:cstheme="minorEastAsia"/>
          <w:sz w:val="24"/>
        </w:rPr>
      </w:pPr>
    </w:p>
    <w:p w14:paraId="0EA87802">
      <w:pPr>
        <w:spacing w:line="360" w:lineRule="auto"/>
        <w:rPr>
          <w:rFonts w:asciiTheme="minorEastAsia" w:hAnsiTheme="minorEastAsia" w:eastAsiaTheme="minorEastAsia" w:cstheme="minorEastAsia"/>
          <w:sz w:val="24"/>
        </w:rPr>
        <w:sectPr>
          <w:headerReference r:id="rId7" w:type="default"/>
          <w:footerReference r:id="rId8" w:type="default"/>
          <w:footerReference r:id="rId9" w:type="even"/>
          <w:pgSz w:w="11906" w:h="16838"/>
          <w:pgMar w:top="1701" w:right="1134" w:bottom="1134" w:left="1134" w:header="851" w:footer="992" w:gutter="0"/>
          <w:cols w:space="720" w:num="1"/>
          <w:docGrid w:type="lines" w:linePitch="312" w:charSpace="0"/>
        </w:sectPr>
      </w:pPr>
    </w:p>
    <w:p w14:paraId="1954F45A">
      <w:pPr>
        <w:spacing w:line="360" w:lineRule="auto"/>
        <w:jc w:val="center"/>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公共卫生检验管理系统2026-2027年运维服务项目合同</w:t>
      </w:r>
    </w:p>
    <w:p w14:paraId="7C996377">
      <w:pPr>
        <w:wordWrap w:val="0"/>
        <w:spacing w:line="360" w:lineRule="auto"/>
        <w:ind w:firstLine="360" w:firstLineChars="200"/>
        <w:jc w:val="righ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合同编号：                </w:t>
      </w:r>
    </w:p>
    <w:p w14:paraId="51132C6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甲方：东莞市疾病预防控制中心（东莞市卫生监督所）</w:t>
      </w:r>
    </w:p>
    <w:p w14:paraId="56E8152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地址：东莞市南城街道车站路33号</w:t>
      </w:r>
    </w:p>
    <w:p w14:paraId="1F93FA6D">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联系人：蔡梅珍，联系电话：0769-22625686</w:t>
      </w:r>
    </w:p>
    <w:p w14:paraId="15FA476B">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乙方：  </w:t>
      </w:r>
    </w:p>
    <w:p w14:paraId="4AE3E7ED">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w:t>
      </w:r>
    </w:p>
    <w:p w14:paraId="27AC7DE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      ，联系电话：</w:t>
      </w:r>
    </w:p>
    <w:p w14:paraId="23C6798E">
      <w:pPr>
        <w:spacing w:line="360" w:lineRule="auto"/>
        <w:ind w:firstLine="420" w:firstLineChars="200"/>
        <w:rPr>
          <w:rFonts w:asciiTheme="minorEastAsia" w:hAnsiTheme="minorEastAsia" w:eastAsiaTheme="minorEastAsia" w:cstheme="minorEastAsia"/>
          <w:szCs w:val="21"/>
        </w:rPr>
      </w:pPr>
    </w:p>
    <w:p w14:paraId="3AE088B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根据双方关于本项目（项目编号： ）的零散采购文件、响应文件及相关法律法规，经双方协商一致，签订本合同。</w:t>
      </w:r>
    </w:p>
    <w:p w14:paraId="41F11657">
      <w:pPr>
        <w:numPr>
          <w:ilvl w:val="0"/>
          <w:numId w:val="34"/>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服务内容及服务费用</w:t>
      </w:r>
    </w:p>
    <w:p w14:paraId="091E8A1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乙方对甲方的公共卫生检验管理系统提供维护服务，具体如下：</w:t>
      </w:r>
    </w:p>
    <w:tbl>
      <w:tblPr>
        <w:tblStyle w:val="17"/>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5065"/>
        <w:gridCol w:w="2191"/>
      </w:tblGrid>
      <w:tr w14:paraId="4D6A8A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43" w:type="pct"/>
            <w:tcBorders>
              <w:tl2br w:val="nil"/>
              <w:tr2bl w:val="nil"/>
            </w:tcBorders>
            <w:noWrap/>
            <w:vAlign w:val="center"/>
          </w:tcPr>
          <w:p w14:paraId="72F94F01">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972" w:type="pct"/>
            <w:tcBorders>
              <w:tl2br w:val="nil"/>
              <w:tr2bl w:val="nil"/>
            </w:tcBorders>
            <w:vAlign w:val="center"/>
          </w:tcPr>
          <w:p w14:paraId="2C8CD426">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收费项目</w:t>
            </w:r>
          </w:p>
        </w:tc>
        <w:tc>
          <w:tcPr>
            <w:tcW w:w="1285" w:type="pct"/>
            <w:tcBorders>
              <w:tl2br w:val="nil"/>
              <w:tr2bl w:val="nil"/>
            </w:tcBorders>
            <w:noWrap/>
            <w:vAlign w:val="center"/>
          </w:tcPr>
          <w:p w14:paraId="4668A88B">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r>
      <w:tr w14:paraId="06421B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43" w:type="pct"/>
            <w:tcBorders>
              <w:tl2br w:val="nil"/>
              <w:tr2bl w:val="nil"/>
            </w:tcBorders>
            <w:noWrap/>
            <w:vAlign w:val="center"/>
          </w:tcPr>
          <w:p w14:paraId="7BCDA3D3">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972" w:type="pct"/>
            <w:tcBorders>
              <w:tl2br w:val="nil"/>
              <w:tr2bl w:val="nil"/>
            </w:tcBorders>
            <w:vAlign w:val="center"/>
          </w:tcPr>
          <w:p w14:paraId="2100CE8B">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系统优化升级</w:t>
            </w:r>
          </w:p>
        </w:tc>
        <w:tc>
          <w:tcPr>
            <w:tcW w:w="1285" w:type="pct"/>
            <w:tcBorders>
              <w:tl2br w:val="nil"/>
              <w:tr2bl w:val="nil"/>
            </w:tcBorders>
            <w:noWrap/>
            <w:vAlign w:val="center"/>
          </w:tcPr>
          <w:p w14:paraId="493C3205">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w:t>
            </w:r>
          </w:p>
        </w:tc>
      </w:tr>
      <w:tr w14:paraId="0F5994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43" w:type="pct"/>
            <w:tcBorders>
              <w:tl2br w:val="nil"/>
              <w:tr2bl w:val="nil"/>
            </w:tcBorders>
            <w:noWrap/>
            <w:vAlign w:val="center"/>
          </w:tcPr>
          <w:p w14:paraId="1CE06607">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972" w:type="pct"/>
            <w:tcBorders>
              <w:tl2br w:val="nil"/>
              <w:tr2bl w:val="nil"/>
            </w:tcBorders>
            <w:vAlign w:val="center"/>
          </w:tcPr>
          <w:p w14:paraId="00BCBBFF">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系统维护服务</w:t>
            </w:r>
          </w:p>
        </w:tc>
        <w:tc>
          <w:tcPr>
            <w:tcW w:w="1285" w:type="pct"/>
            <w:tcBorders>
              <w:tl2br w:val="nil"/>
              <w:tr2bl w:val="nil"/>
            </w:tcBorders>
            <w:noWrap/>
            <w:vAlign w:val="center"/>
          </w:tcPr>
          <w:p w14:paraId="3CB7B9DC">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w:t>
            </w:r>
          </w:p>
        </w:tc>
      </w:tr>
      <w:tr w14:paraId="288B01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43" w:type="pct"/>
            <w:tcBorders>
              <w:tl2br w:val="nil"/>
              <w:tr2bl w:val="nil"/>
            </w:tcBorders>
            <w:noWrap/>
            <w:vAlign w:val="center"/>
          </w:tcPr>
          <w:p w14:paraId="0BF89D04">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合计</w:t>
            </w:r>
          </w:p>
        </w:tc>
        <w:tc>
          <w:tcPr>
            <w:tcW w:w="4257" w:type="pct"/>
            <w:gridSpan w:val="2"/>
            <w:tcBorders>
              <w:tl2br w:val="nil"/>
              <w:tr2bl w:val="nil"/>
            </w:tcBorders>
            <w:vAlign w:val="center"/>
          </w:tcPr>
          <w:p w14:paraId="39A60F9A">
            <w:pPr>
              <w:spacing w:line="360" w:lineRule="auto"/>
              <w:ind w:firstLine="175" w:firstLineChars="83"/>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人民币  元（大写：    万元整）</w:t>
            </w:r>
          </w:p>
        </w:tc>
      </w:tr>
    </w:tbl>
    <w:p w14:paraId="099C4ABB">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p w14:paraId="4CF3192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1．维护费、维修费、改造费、更换零配件费、人工费、知识产权费、税费等其它一切可预见与不可预见费用已折算入</w:t>
      </w:r>
      <w:r>
        <w:rPr>
          <w:rFonts w:hint="eastAsia" w:asciiTheme="minorEastAsia" w:hAnsiTheme="minorEastAsia" w:eastAsiaTheme="minorEastAsia" w:cstheme="minorEastAsia"/>
          <w:szCs w:val="21"/>
          <w:lang w:val="en-US" w:eastAsia="zh-Hans"/>
        </w:rPr>
        <w:t>合同总价费用</w:t>
      </w:r>
      <w:r>
        <w:rPr>
          <w:rFonts w:hint="eastAsia" w:asciiTheme="minorEastAsia" w:hAnsiTheme="minorEastAsia" w:eastAsiaTheme="minorEastAsia" w:cstheme="minorEastAsia"/>
          <w:szCs w:val="21"/>
        </w:rPr>
        <w:t>中，乙方不另外收取</w:t>
      </w:r>
      <w:r>
        <w:rPr>
          <w:rFonts w:hint="eastAsia" w:asciiTheme="minorEastAsia" w:hAnsiTheme="minorEastAsia" w:eastAsiaTheme="minorEastAsia" w:cstheme="minorEastAsia"/>
          <w:szCs w:val="21"/>
          <w:lang w:val="en-US" w:eastAsia="zh-Hans"/>
        </w:rPr>
        <w:t>任何费用</w:t>
      </w:r>
      <w:r>
        <w:rPr>
          <w:rFonts w:hint="eastAsia" w:asciiTheme="minorEastAsia" w:hAnsiTheme="minorEastAsia" w:eastAsiaTheme="minorEastAsia" w:cstheme="minorEastAsia"/>
          <w:szCs w:val="21"/>
        </w:rPr>
        <w:t>。具体服务内容详见</w:t>
      </w:r>
      <w:r>
        <w:rPr>
          <w:rFonts w:hint="eastAsia" w:asciiTheme="minorEastAsia" w:hAnsiTheme="minorEastAsia" w:eastAsiaTheme="minorEastAsia" w:cstheme="minorEastAsia"/>
          <w:szCs w:val="21"/>
          <w:lang w:val="en-US" w:eastAsia="zh-Hans"/>
        </w:rPr>
        <w:t>本合同</w:t>
      </w:r>
      <w:r>
        <w:rPr>
          <w:rFonts w:hint="default" w:asciiTheme="minorEastAsia" w:hAnsiTheme="minorEastAsia" w:eastAsiaTheme="minorEastAsia" w:cstheme="minorEastAsia"/>
          <w:szCs w:val="21"/>
          <w:lang w:val="en-US"/>
        </w:rPr>
        <w:t>附件</w:t>
      </w:r>
      <w:r>
        <w:rPr>
          <w:rFonts w:hint="default" w:asciiTheme="minorEastAsia" w:hAnsiTheme="minorEastAsia" w:eastAsiaTheme="minorEastAsia" w:cstheme="minorEastAsia"/>
          <w:szCs w:val="21"/>
        </w:rPr>
        <w:t>《</w:t>
      </w:r>
      <w:r>
        <w:rPr>
          <w:rFonts w:hint="eastAsia" w:asciiTheme="minorEastAsia" w:hAnsiTheme="minorEastAsia" w:eastAsiaTheme="minorEastAsia" w:cstheme="minorEastAsia"/>
          <w:szCs w:val="21"/>
        </w:rPr>
        <w:t>用户需求书</w:t>
      </w:r>
      <w:r>
        <w:rPr>
          <w:rFonts w:hint="default" w:asciiTheme="minorEastAsia" w:hAnsiTheme="minorEastAsia" w:eastAsiaTheme="minorEastAsia" w:cstheme="minorEastAsia"/>
          <w:szCs w:val="21"/>
        </w:rPr>
        <w:t>》</w:t>
      </w:r>
      <w:r>
        <w:rPr>
          <w:rFonts w:hint="eastAsia" w:asciiTheme="minorEastAsia" w:hAnsiTheme="minorEastAsia" w:eastAsiaTheme="minorEastAsia" w:cstheme="minorEastAsia"/>
          <w:szCs w:val="21"/>
        </w:rPr>
        <w:t>，具体实施过程中如有调整须征得甲方</w:t>
      </w:r>
      <w:r>
        <w:rPr>
          <w:rFonts w:hint="eastAsia" w:asciiTheme="minorEastAsia" w:hAnsiTheme="minorEastAsia" w:eastAsiaTheme="minorEastAsia" w:cstheme="minorEastAsia"/>
          <w:szCs w:val="21"/>
          <w:lang w:val="en-US" w:eastAsia="zh-Hans"/>
        </w:rPr>
        <w:t>书面</w:t>
      </w:r>
      <w:r>
        <w:rPr>
          <w:rFonts w:hint="eastAsia" w:asciiTheme="minorEastAsia" w:hAnsiTheme="minorEastAsia" w:eastAsiaTheme="minorEastAsia" w:cstheme="minorEastAsia"/>
          <w:szCs w:val="21"/>
        </w:rPr>
        <w:t>同意。</w:t>
      </w:r>
    </w:p>
    <w:p w14:paraId="152CAAD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2．本项目系统维护服务期为</w:t>
      </w:r>
      <w:r>
        <w:rPr>
          <w:rFonts w:hint="eastAsia" w:asciiTheme="minorEastAsia" w:hAnsiTheme="minorEastAsia" w:eastAsiaTheme="minorEastAsia" w:cstheme="minorEastAsia"/>
          <w:color w:val="000000"/>
          <w:szCs w:val="21"/>
        </w:rPr>
        <w:t>2026年10月1日至2027年9月30日</w:t>
      </w:r>
      <w:r>
        <w:rPr>
          <w:rFonts w:hint="eastAsia" w:asciiTheme="minorEastAsia" w:hAnsiTheme="minorEastAsia" w:eastAsiaTheme="minorEastAsia" w:cstheme="minorEastAsia"/>
          <w:szCs w:val="21"/>
        </w:rPr>
        <w:t>。</w:t>
      </w:r>
    </w:p>
    <w:p w14:paraId="301A879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3．乙方承诺服务费用符合《广东省政府投资应用软件开发项目价格评估与计算方法》及其它相关规定。</w:t>
      </w:r>
    </w:p>
    <w:p w14:paraId="28B194C7">
      <w:pPr>
        <w:numPr>
          <w:ilvl w:val="0"/>
          <w:numId w:val="34"/>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付款方式</w:t>
      </w:r>
    </w:p>
    <w:p w14:paraId="0023766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w:t>
      </w:r>
      <w:r>
        <w:rPr>
          <w:rFonts w:hint="eastAsia" w:asciiTheme="minorEastAsia" w:hAnsiTheme="minorEastAsia" w:eastAsiaTheme="minorEastAsia" w:cstheme="minorEastAsia"/>
          <w:szCs w:val="21"/>
          <w:lang w:eastAsia="zh-Hans"/>
        </w:rPr>
        <w:t>本合同第一条约定的服务费用</w:t>
      </w:r>
      <w:r>
        <w:rPr>
          <w:rFonts w:hint="eastAsia" w:asciiTheme="minorEastAsia" w:hAnsiTheme="minorEastAsia" w:eastAsiaTheme="minorEastAsia" w:cstheme="minorEastAsia"/>
          <w:szCs w:val="21"/>
        </w:rPr>
        <w:t>分三次支付，每次支付前乙方</w:t>
      </w:r>
      <w:r>
        <w:rPr>
          <w:rFonts w:hint="eastAsia" w:asciiTheme="minorEastAsia" w:hAnsiTheme="minorEastAsia" w:eastAsiaTheme="minorEastAsia" w:cstheme="minorEastAsia"/>
          <w:szCs w:val="21"/>
          <w:lang w:eastAsia="zh-Hans"/>
        </w:rPr>
        <w:t>应</w:t>
      </w:r>
      <w:r>
        <w:rPr>
          <w:rFonts w:hint="eastAsia" w:asciiTheme="minorEastAsia" w:hAnsiTheme="minorEastAsia" w:eastAsiaTheme="minorEastAsia" w:cstheme="minorEastAsia"/>
          <w:szCs w:val="21"/>
        </w:rPr>
        <w:t>向甲方开具相应金额的发票</w:t>
      </w:r>
      <w:r>
        <w:rPr>
          <w:rFonts w:hint="eastAsia" w:asciiTheme="minorEastAsia" w:hAnsiTheme="minorEastAsia" w:eastAsiaTheme="minorEastAsia" w:cstheme="minorEastAsia"/>
          <w:szCs w:val="21"/>
          <w:lang w:eastAsia="zh-Hans"/>
        </w:rPr>
        <w:t>向甲方请款</w:t>
      </w:r>
      <w:r>
        <w:rPr>
          <w:rFonts w:hint="eastAsia" w:asciiTheme="minorEastAsia" w:hAnsiTheme="minorEastAsia" w:eastAsiaTheme="minorEastAsia" w:cstheme="minorEastAsia"/>
          <w:szCs w:val="21"/>
        </w:rPr>
        <w:t>，甲方收到发票后10个工作日内向乙方支付相应金额</w:t>
      </w:r>
      <w:r>
        <w:rPr>
          <w:rFonts w:hint="default" w:asciiTheme="minorEastAsia" w:hAnsiTheme="minorEastAsia" w:eastAsiaTheme="minorEastAsia" w:cstheme="minorEastAsia"/>
          <w:szCs w:val="21"/>
        </w:rPr>
        <w:t>，</w:t>
      </w:r>
      <w:r>
        <w:rPr>
          <w:rFonts w:hint="eastAsia" w:asciiTheme="minorEastAsia" w:hAnsiTheme="minorEastAsia" w:eastAsiaTheme="minorEastAsia" w:cstheme="minorEastAsia"/>
          <w:szCs w:val="21"/>
          <w:lang w:eastAsia="zh-Hans"/>
        </w:rPr>
        <w:t>具体如下</w:t>
      </w:r>
      <w:r>
        <w:rPr>
          <w:rFonts w:hint="eastAsia" w:asciiTheme="minorEastAsia" w:hAnsiTheme="minorEastAsia" w:eastAsiaTheme="minorEastAsia" w:cstheme="minorEastAsia"/>
          <w:szCs w:val="21"/>
        </w:rPr>
        <w:t>：</w:t>
      </w:r>
    </w:p>
    <w:p w14:paraId="5E66113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1.本合同签订之日起且乙方向甲方提供与待付款项相对应的等额合法有效发票后10 个工作日内，甲方支付乙方合同首期款￥</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元，大写：人民币：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元整；</w:t>
      </w:r>
    </w:p>
    <w:p w14:paraId="734EBA8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2.维护期满6个月，乙方向甲方提供与待付款项相对应的等额合法有效发票后10个工作日内，甲方支付乙方第二期合同款￥</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元，大写：人民币：</w:t>
      </w:r>
    </w:p>
    <w:p w14:paraId="38EA7C2A">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元整；</w:t>
      </w:r>
    </w:p>
    <w:p w14:paraId="592BC71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3.维护期满并验收合格，乙方向甲方提供书面维护报告、巡检报告及与待付款项相对应的等额合法有效发票10个工作日内，甲方支付乙方第三期合同款￥</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，大写：人民币：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元整。</w:t>
      </w:r>
    </w:p>
    <w:p w14:paraId="003228B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（二）乙方</w:t>
      </w:r>
      <w:r>
        <w:rPr>
          <w:rFonts w:hint="eastAsia" w:asciiTheme="minorEastAsia" w:hAnsiTheme="minorEastAsia" w:eastAsiaTheme="minorEastAsia" w:cstheme="minorEastAsia"/>
          <w:szCs w:val="21"/>
          <w:lang w:val="en-US" w:eastAsia="zh-Hans"/>
        </w:rPr>
        <w:t>指定收款</w:t>
      </w:r>
      <w:r>
        <w:rPr>
          <w:rFonts w:hint="eastAsia" w:asciiTheme="minorEastAsia" w:hAnsiTheme="minorEastAsia" w:eastAsiaTheme="minorEastAsia" w:cstheme="minorEastAsia"/>
          <w:szCs w:val="21"/>
        </w:rPr>
        <w:t>账户如下：</w:t>
      </w:r>
    </w:p>
    <w:p w14:paraId="1236683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户名：  </w:t>
      </w:r>
    </w:p>
    <w:p w14:paraId="1CEBC8D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开户行： </w:t>
      </w:r>
    </w:p>
    <w:p w14:paraId="700BB99E">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账号：</w:t>
      </w:r>
    </w:p>
    <w:p w14:paraId="1ACABFC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Hans"/>
        </w:rPr>
        <w:t>三</w:t>
      </w:r>
      <w:r>
        <w:rPr>
          <w:rFonts w:hint="eastAsia" w:asciiTheme="minorEastAsia" w:hAnsiTheme="minorEastAsia" w:eastAsiaTheme="minorEastAsia" w:cstheme="minorEastAsia"/>
          <w:szCs w:val="21"/>
          <w:lang w:eastAsia="zh-Hans"/>
        </w:rPr>
        <w:t>）</w:t>
      </w:r>
      <w:r>
        <w:rPr>
          <w:rFonts w:hint="eastAsia" w:asciiTheme="minorEastAsia" w:hAnsiTheme="minorEastAsia" w:eastAsiaTheme="minorEastAsia" w:cstheme="minorEastAsia"/>
          <w:szCs w:val="21"/>
        </w:rPr>
        <w:t>本合同约定的付款时间为甲方向政府财政支付部门提出支付申请的时间，具体付款时间以政府财政支付部门审批支付的时间为准；即若甲方在付款到期日前提交请款材料，但经审批后的最终付款时间迟于双方约定付款时间的，不视为甲方违约。</w:t>
      </w:r>
    </w:p>
    <w:p w14:paraId="3367734A">
      <w:pPr>
        <w:numPr>
          <w:ilvl w:val="0"/>
          <w:numId w:val="34"/>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验收标准</w:t>
      </w:r>
    </w:p>
    <w:p w14:paraId="300DB77D">
      <w:pPr>
        <w:numPr>
          <w:ilvl w:val="0"/>
          <w:numId w:val="35"/>
        </w:numPr>
        <w:spacing w:line="360" w:lineRule="auto"/>
        <w:ind w:hanging="5"/>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验收应在甲乙双方共同参加下进行，依据零散采购文件及本合同的有关规定进行验收，符合本合同附件的用户需求书，符合本合同约定，并按国家、行业有关规定、规范进行。</w:t>
      </w:r>
    </w:p>
    <w:p w14:paraId="0BC555EF">
      <w:pPr>
        <w:pStyle w:val="2"/>
        <w:numPr>
          <w:ilvl w:val="0"/>
          <w:numId w:val="35"/>
        </w:numPr>
        <w:spacing w:after="0" w:line="360" w:lineRule="auto"/>
        <w:ind w:hanging="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甲方组织项目验收小组按国家、行业有关规定、规范进行验收，必要时可以邀请相关专业人员或机构参与验收，验收费用由乙方承担。</w:t>
      </w:r>
    </w:p>
    <w:p w14:paraId="197AE7D5">
      <w:pPr>
        <w:pStyle w:val="2"/>
        <w:numPr>
          <w:ilvl w:val="0"/>
          <w:numId w:val="35"/>
        </w:numPr>
        <w:spacing w:after="0" w:line="360" w:lineRule="auto"/>
        <w:ind w:hanging="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对验收不合格的部分，乙方应在甲方规定时间内及时整改完善直至合格，整改费用由乙方承担。</w:t>
      </w:r>
    </w:p>
    <w:p w14:paraId="68D0AEEB">
      <w:pPr>
        <w:numPr>
          <w:ilvl w:val="0"/>
          <w:numId w:val="34"/>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违约责任</w:t>
      </w:r>
    </w:p>
    <w:p w14:paraId="6AE19C33">
      <w:pPr>
        <w:numPr>
          <w:ilvl w:val="0"/>
          <w:numId w:val="36"/>
        </w:num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反如下任一事项，导致合同无法继续履行完毕的，甲方有权解除合同，有权要求乙方退还已支付的全部费用，剩余费用不予支付并且有权要求乙方支付合同金额的30%作为违约金；给甲方造成损失的，有权要求乙方承担全部损失，并有权按本条款第（二）点的约定向乙方追偿一切维权费用。</w:t>
      </w:r>
    </w:p>
    <w:p w14:paraId="0ACD3DAD">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（1）如因乙方工作人员操作失误，使甲方设备、信息系统、网络等机房相关设施长时间无法工作，该等情况累计出现3次以上；</w:t>
      </w:r>
    </w:p>
    <w:p w14:paraId="07DBC98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（2）如乙方未能按约定的服务要求进行维护、维修、改造、安全加固；</w:t>
      </w:r>
    </w:p>
    <w:p w14:paraId="7F2B146B">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（3）如乙方未能按</w:t>
      </w:r>
      <w:r>
        <w:rPr>
          <w:rFonts w:hint="eastAsia" w:asciiTheme="minorEastAsia" w:hAnsiTheme="minorEastAsia" w:eastAsiaTheme="minorEastAsia" w:cstheme="minorEastAsia"/>
          <w:szCs w:val="21"/>
          <w:lang w:val="en-US" w:eastAsia="zh-Hans"/>
        </w:rPr>
        <w:t>本合同及招投标文件</w:t>
      </w:r>
      <w:r>
        <w:rPr>
          <w:rFonts w:hint="eastAsia" w:asciiTheme="minorEastAsia" w:hAnsiTheme="minorEastAsia" w:eastAsiaTheme="minorEastAsia" w:cstheme="minorEastAsia"/>
          <w:szCs w:val="21"/>
        </w:rPr>
        <w:t>约定的服务时限要求开展工作；</w:t>
      </w:r>
    </w:p>
    <w:p w14:paraId="5F986AC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（4）如因乙方提供的服务不合格造成甲方</w:t>
      </w:r>
      <w:r>
        <w:rPr>
          <w:rFonts w:hint="eastAsia" w:asciiTheme="minorEastAsia" w:hAnsiTheme="minorEastAsia" w:eastAsiaTheme="minorEastAsia" w:cstheme="minorEastAsia"/>
          <w:szCs w:val="21"/>
          <w:lang w:val="en-US" w:eastAsia="zh-Hans"/>
        </w:rPr>
        <w:t>系统或</w:t>
      </w:r>
      <w:r>
        <w:rPr>
          <w:rFonts w:hint="eastAsia" w:asciiTheme="minorEastAsia" w:hAnsiTheme="minorEastAsia" w:eastAsiaTheme="minorEastAsia" w:cstheme="minorEastAsia"/>
          <w:szCs w:val="21"/>
        </w:rPr>
        <w:t>网络不安全或造成信息泄露；</w:t>
      </w:r>
    </w:p>
    <w:p w14:paraId="71D39D3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bidi="ar"/>
        </w:rPr>
        <w:t>乙方若不按</w:t>
      </w:r>
      <w:r>
        <w:rPr>
          <w:rFonts w:hint="eastAsia" w:asciiTheme="minorEastAsia" w:hAnsiTheme="minorEastAsia" w:eastAsiaTheme="minorEastAsia" w:cstheme="minorEastAsia"/>
          <w:szCs w:val="21"/>
        </w:rPr>
        <w:t>本合同及其附件、零散采购文件、响应文件及书面承诺</w:t>
      </w:r>
      <w:r>
        <w:rPr>
          <w:rFonts w:hint="eastAsia" w:asciiTheme="minorEastAsia" w:hAnsiTheme="minorEastAsia" w:eastAsiaTheme="minorEastAsia" w:cstheme="minorEastAsia"/>
          <w:szCs w:val="21"/>
          <w:lang w:bidi="ar"/>
        </w:rPr>
        <w:t>履行其他义务的，应限期2日予以改正，逾期未能改正的。</w:t>
      </w:r>
    </w:p>
    <w:p w14:paraId="394171F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（二）任何一方出现违约引起纠纷的，守约方均有权要求违约方承担解决纠纷所产生的包括但不限于诉讼费、律师费、保全费、保险费、公证费、调查取证费、执行费、差旅费等一切维权费用。</w:t>
      </w:r>
    </w:p>
    <w:p w14:paraId="1F44621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三）由于不可抗力因素而影响工作，甚至造成损失时，甲乙双方免于责任。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14:paraId="67DD4441">
      <w:pPr>
        <w:numPr>
          <w:ilvl w:val="0"/>
          <w:numId w:val="34"/>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适用法律、争议解决方式及其他</w:t>
      </w:r>
    </w:p>
    <w:p w14:paraId="39046A6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本合同的订立、效力、解释、履行及争议方式均受中华人民共和国法律的保护和管辖。本合同如与零散采购文件、响应文件有冲突之处，以本合同为准，本合同未明确之处以零散采购文件、响应文件对甲方较优者为准。</w:t>
      </w:r>
    </w:p>
    <w:p w14:paraId="39D9709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（二）因执行本合同发生争议时，首先双方协商解决，协商不成的，任何一方可以向甲方所在地</w:t>
      </w:r>
      <w:r>
        <w:rPr>
          <w:rFonts w:hint="eastAsia" w:asciiTheme="minorEastAsia" w:hAnsiTheme="minorEastAsia" w:eastAsiaTheme="minorEastAsia" w:cstheme="minorEastAsia"/>
          <w:szCs w:val="21"/>
          <w:lang w:val="en-US" w:eastAsia="zh-Hans"/>
        </w:rPr>
        <w:t>有管辖权</w:t>
      </w:r>
      <w:r>
        <w:rPr>
          <w:rFonts w:hint="eastAsia" w:asciiTheme="minorEastAsia" w:hAnsiTheme="minorEastAsia" w:eastAsiaTheme="minorEastAsia" w:cstheme="minorEastAsia"/>
          <w:szCs w:val="21"/>
        </w:rPr>
        <w:t>的人民法院提起诉讼。</w:t>
      </w:r>
    </w:p>
    <w:p w14:paraId="1259769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（三）本合同自双方签字盖章之日起生效。本合同一式贰份，甲方执壹份，乙方执壹份，均具有同等法律效力。</w:t>
      </w:r>
    </w:p>
    <w:p w14:paraId="62E018A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（以下无正文）</w:t>
      </w:r>
    </w:p>
    <w:p w14:paraId="56ACB4D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附件：用户需求书</w:t>
      </w:r>
    </w:p>
    <w:p w14:paraId="31997DF4">
      <w:pPr>
        <w:spacing w:line="360" w:lineRule="auto"/>
        <w:rPr>
          <w:rFonts w:asciiTheme="minorEastAsia" w:hAnsiTheme="minorEastAsia" w:eastAsiaTheme="minorEastAsia" w:cstheme="minorEastAsia"/>
          <w:szCs w:val="21"/>
        </w:rPr>
      </w:pPr>
    </w:p>
    <w:p w14:paraId="3FF14ECF">
      <w:pPr>
        <w:spacing w:line="360" w:lineRule="auto"/>
        <w:ind w:left="4410" w:right="-147" w:rightChars="-70" w:hanging="4410" w:hangingChars="2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甲方：东莞市疾病预防控制中心        乙方： </w:t>
      </w:r>
    </w:p>
    <w:p w14:paraId="3E443738">
      <w:pPr>
        <w:spacing w:line="360" w:lineRule="auto"/>
        <w:ind w:right="-147" w:rightChars="-7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（东莞市卫生监督所） </w:t>
      </w:r>
    </w:p>
    <w:p w14:paraId="003CE9FE">
      <w:pPr>
        <w:spacing w:line="360" w:lineRule="auto"/>
        <w:ind w:left="4528" w:hanging="4527" w:hangingChars="215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法定代表人或授权代表：               法定代表人或授权代表： </w:t>
      </w:r>
    </w:p>
    <w:p w14:paraId="79918779">
      <w:pPr>
        <w:spacing w:line="360" w:lineRule="auto"/>
        <w:ind w:left="4528" w:hanging="4527" w:hangingChars="2156"/>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 xml:space="preserve">公章：                               公章：                                              </w:t>
      </w:r>
      <w:r>
        <w:rPr>
          <w:rFonts w:hint="eastAsia" w:asciiTheme="minorEastAsia" w:hAnsiTheme="minorEastAsia" w:eastAsiaTheme="minorEastAsia" w:cstheme="minorEastAsia"/>
          <w:sz w:val="24"/>
        </w:rPr>
        <w:t xml:space="preserve">      </w:t>
      </w:r>
    </w:p>
    <w:p w14:paraId="3B4E0E79">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    年    月    日             日期：    年    月    日</w:t>
      </w:r>
    </w:p>
    <w:p w14:paraId="6952A4B9">
      <w:pPr>
        <w:spacing w:line="360" w:lineRule="auto"/>
        <w:rPr>
          <w:rFonts w:asciiTheme="minorEastAsia" w:hAnsiTheme="minorEastAsia" w:eastAsiaTheme="minorEastAsia" w:cstheme="minorEastAsia"/>
        </w:rPr>
      </w:pPr>
    </w:p>
    <w:p w14:paraId="3E36476B">
      <w:pPr>
        <w:spacing w:line="360" w:lineRule="auto"/>
        <w:rPr>
          <w:rFonts w:asciiTheme="minorEastAsia" w:hAnsiTheme="minorEastAsia" w:eastAsiaTheme="minorEastAsia" w:cstheme="minorEastAsia"/>
        </w:rPr>
      </w:pPr>
    </w:p>
    <w:sectPr>
      <w:headerReference r:id="rId10" w:type="default"/>
      <w:footerReference r:id="rId1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DejaVu Math TeX Gyre">
    <w:panose1 w:val="02000503000000000000"/>
    <w:charset w:val="00"/>
    <w:family w:val="auto"/>
    <w:pitch w:val="default"/>
    <w:sig w:usb0="A10000EF" w:usb1="4201F9EE" w:usb2="02000000" w:usb3="00000000" w:csb0="60000193" w:csb1="0DD4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98BBC">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3" name="文本框 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7267BC58">
                          <w:pPr>
                            <w:pStyle w:val="12"/>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5" o:spid="_x0000_s1026"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tbuXfQAAAAAgEAAA8AAAAAAAAAAQAgAAAAIgAAAGRycy9k&#10;b3ducmV2LnhtbFBLAQIUABQAAAAIAIdO4kCELnDUCgIAAAEEAAAOAAAAAAAAAAEAIAAAAB8BAABk&#10;cnMvZTJvRG9jLnhtbFBLBQYAAAAABgAGAFkBAACbBQAAAAA=&#10;">
              <v:fill on="f" focussize="0,0"/>
              <v:stroke on="f"/>
              <v:imagedata o:title=""/>
              <o:lock v:ext="edit" aspectratio="f"/>
              <v:textbox inset="0mm,0mm,0mm,0mm" style="mso-fit-shape-to-text:t;">
                <w:txbxContent>
                  <w:p w14:paraId="7267BC58">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F1990">
    <w:pPr>
      <w:snapToGrid w:val="0"/>
      <w:jc w:val="left"/>
      <w:rPr>
        <w:rFonts w:ascii="Times New Roman" w:hAnsi="Times New Roman"/>
        <w:sz w:val="18"/>
      </w:rPr>
    </w:pPr>
    <w:r>
      <w:rPr>
        <w:rFonts w:ascii="Times New Roman" w:hAnsi="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11835" cy="230505"/>
              <wp:effectExtent l="0" t="0" r="0" b="0"/>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711835" cy="230505"/>
                      </a:xfrm>
                      <a:prstGeom prst="rect">
                        <a:avLst/>
                      </a:prstGeom>
                      <a:noFill/>
                      <a:ln>
                        <a:noFill/>
                      </a:ln>
                      <a:effectLst/>
                    </wps:spPr>
                    <wps:txbx>
                      <w:txbxContent>
                        <w:p w14:paraId="641C24CD">
                          <w:pPr>
                            <w:snapToGrid w:val="0"/>
                            <w:ind w:left="210" w:leftChars="100" w:right="210" w:rightChars="100"/>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t>—</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8.15pt;width:56.05pt;mso-position-horizontal:center;mso-position-horizontal-relative:margin;mso-wrap-style:none;z-index:251659264;mso-width-relative:page;mso-height-relative:page;" filled="f" stroked="f" coordsize="21600,21600" o:gfxdata="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lRLzLRAAAABAEAAA8AAAAAAAAAAQAgAAAAIgAA&#10;AGRycy9kb3ducmV2LnhtbFBLAQIUABQAAAAIAIdO4kASt1liDwIAABAEAAAOAAAAAAAAAAEAIAAA&#10;ACABAABkcnMvZTJvRG9jLnhtbFBLBQYAAAAABgAGAFkBAAChBQAAAAA=&#10;">
              <v:fill on="f" focussize="0,0"/>
              <v:stroke on="f"/>
              <v:imagedata o:title=""/>
              <o:lock v:ext="edit" aspectratio="f"/>
              <v:textbox inset="0mm,0mm,0mm,0mm" style="mso-fit-shape-to-text:t;">
                <w:txbxContent>
                  <w:p w14:paraId="641C24CD">
                    <w:pPr>
                      <w:snapToGrid w:val="0"/>
                      <w:ind w:left="210" w:leftChars="100" w:right="210" w:rightChars="100"/>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46D7D">
    <w:pPr>
      <w:framePr w:w="1304" w:h="357" w:wrap="around" w:vAnchor="text" w:hAnchor="margin" w:xAlign="outside" w:y="1"/>
      <w:snapToGrid w:val="0"/>
      <w:ind w:firstLine="280" w:firstLineChars="100"/>
      <w:jc w:val="left"/>
      <w:rPr>
        <w:rStyle w:val="21"/>
        <w:rFonts w:ascii="宋体" w:hAnsi="宋体"/>
        <w:sz w:val="28"/>
        <w:szCs w:val="28"/>
      </w:rPr>
    </w:pPr>
    <w:r>
      <w:rPr>
        <w:rStyle w:val="21"/>
        <w:rFonts w:hint="eastAsia" w:ascii="宋体" w:hAnsi="宋体"/>
        <w:sz w:val="28"/>
        <w:szCs w:val="28"/>
      </w:rPr>
      <w:t>—</w:t>
    </w:r>
    <w:r>
      <w:rPr>
        <w:rStyle w:val="21"/>
        <w:rFonts w:ascii="宋体" w:hAnsi="宋体"/>
        <w:sz w:val="28"/>
        <w:szCs w:val="28"/>
      </w:rPr>
      <w:fldChar w:fldCharType="begin"/>
    </w:r>
    <w:r>
      <w:rPr>
        <w:rStyle w:val="21"/>
        <w:rFonts w:ascii="宋体" w:hAnsi="宋体"/>
        <w:sz w:val="28"/>
        <w:szCs w:val="28"/>
      </w:rPr>
      <w:instrText xml:space="preserve">PAGE  </w:instrText>
    </w:r>
    <w:r>
      <w:rPr>
        <w:rStyle w:val="21"/>
        <w:rFonts w:ascii="宋体" w:hAnsi="宋体"/>
        <w:sz w:val="28"/>
        <w:szCs w:val="28"/>
      </w:rPr>
      <w:fldChar w:fldCharType="separate"/>
    </w:r>
    <w:r>
      <w:rPr>
        <w:rStyle w:val="21"/>
        <w:rFonts w:ascii="宋体" w:hAnsi="宋体"/>
        <w:sz w:val="28"/>
        <w:szCs w:val="28"/>
      </w:rPr>
      <w:t>19</w:t>
    </w:r>
    <w:r>
      <w:rPr>
        <w:rStyle w:val="21"/>
        <w:rFonts w:ascii="宋体" w:hAnsi="宋体"/>
        <w:sz w:val="28"/>
        <w:szCs w:val="28"/>
      </w:rPr>
      <w:fldChar w:fldCharType="end"/>
    </w:r>
    <w:r>
      <w:rPr>
        <w:rStyle w:val="21"/>
        <w:rFonts w:hint="eastAsia" w:ascii="宋体" w:hAnsi="宋体"/>
        <w:sz w:val="28"/>
        <w:szCs w:val="28"/>
      </w:rPr>
      <w:t>—</w:t>
    </w:r>
  </w:p>
  <w:p w14:paraId="60D07EEC">
    <w:pPr>
      <w:snapToGrid w:val="0"/>
      <w:ind w:right="360" w:firstLine="360"/>
      <w:jc w:val="left"/>
      <w:rPr>
        <w:rFonts w:ascii="Times New Roman" w:hAnsi="Times New Roman"/>
        <w:sz w:val="18"/>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2F3BB">
    <w:pPr>
      <w:framePr w:wrap="around" w:vAnchor="text" w:hAnchor="margin" w:xAlign="outside" w:y="1"/>
      <w:snapToGrid w:val="0"/>
      <w:jc w:val="left"/>
      <w:rPr>
        <w:rStyle w:val="21"/>
        <w:rFonts w:ascii="Times New Roman" w:hAnsi="Times New Roman"/>
        <w:sz w:val="18"/>
        <w:szCs w:val="22"/>
      </w:rPr>
    </w:pPr>
    <w:r>
      <w:rPr>
        <w:rStyle w:val="21"/>
        <w:rFonts w:ascii="Times New Roman" w:hAnsi="Times New Roman"/>
        <w:szCs w:val="22"/>
      </w:rPr>
      <w:fldChar w:fldCharType="begin"/>
    </w:r>
    <w:r>
      <w:rPr>
        <w:rStyle w:val="21"/>
        <w:rFonts w:ascii="Times New Roman" w:hAnsi="Times New Roman"/>
        <w:szCs w:val="22"/>
      </w:rPr>
      <w:instrText xml:space="preserve">PAGE  </w:instrText>
    </w:r>
    <w:r>
      <w:rPr>
        <w:rStyle w:val="21"/>
        <w:rFonts w:ascii="Times New Roman" w:hAnsi="Times New Roman"/>
        <w:szCs w:val="22"/>
      </w:rPr>
      <w:fldChar w:fldCharType="end"/>
    </w:r>
  </w:p>
  <w:p w14:paraId="1AD74B9A">
    <w:pPr>
      <w:snapToGrid w:val="0"/>
      <w:ind w:right="360" w:firstLine="360"/>
      <w:jc w:val="left"/>
      <w:rPr>
        <w:rFonts w:ascii="Times New Roman" w:hAnsi="Times New Roman"/>
        <w:sz w:val="18"/>
        <w:szCs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DA8AC">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36295" cy="232410"/>
              <wp:effectExtent l="0" t="0" r="0" b="0"/>
              <wp:wrapNone/>
              <wp:docPr id="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836295" cy="232410"/>
                      </a:xfrm>
                      <a:prstGeom prst="rect">
                        <a:avLst/>
                      </a:prstGeom>
                      <a:noFill/>
                      <a:ln>
                        <a:noFill/>
                      </a:ln>
                      <a:effectLst/>
                    </wps:spPr>
                    <wps:txbx>
                      <w:txbxContent>
                        <w:p w14:paraId="1E4B0747">
                          <w:pPr>
                            <w:pStyle w:val="12"/>
                            <w:ind w:left="210" w:leftChars="100" w:right="210" w:rightChars="100"/>
                            <w:rPr>
                              <w:rFonts w:ascii="Courier New" w:hAnsi="Courier New" w:cs="Courier New"/>
                              <w:sz w:val="28"/>
                              <w:szCs w:val="28"/>
                            </w:rPr>
                          </w:pPr>
                          <w:r>
                            <w:rPr>
                              <w:rFonts w:hint="eastAsia" w:ascii="Courier New" w:hAnsi="Courier New" w:cs="Courier New"/>
                              <w:sz w:val="28"/>
                              <w:szCs w:val="28"/>
                            </w:rPr>
                            <w:t>—</w:t>
                          </w:r>
                          <w:r>
                            <w:rPr>
                              <w:rFonts w:hint="eastAsia" w:ascii="Courier New" w:hAnsi="Courier New" w:cs="Courier New"/>
                              <w:sz w:val="28"/>
                              <w:szCs w:val="28"/>
                            </w:rPr>
                            <w:fldChar w:fldCharType="begin"/>
                          </w:r>
                          <w:r>
                            <w:rPr>
                              <w:rFonts w:hint="eastAsia" w:ascii="Courier New" w:hAnsi="Courier New" w:cs="Courier New"/>
                              <w:sz w:val="28"/>
                              <w:szCs w:val="28"/>
                            </w:rPr>
                            <w:instrText xml:space="preserve"> PAGE  \* MERGEFORMAT </w:instrText>
                          </w:r>
                          <w:r>
                            <w:rPr>
                              <w:rFonts w:hint="eastAsia" w:ascii="Courier New" w:hAnsi="Courier New" w:cs="Courier New"/>
                              <w:sz w:val="28"/>
                              <w:szCs w:val="28"/>
                            </w:rPr>
                            <w:fldChar w:fldCharType="separate"/>
                          </w:r>
                          <w:r>
                            <w:rPr>
                              <w:rFonts w:ascii="Courier New" w:hAnsi="Courier New" w:cs="Courier New"/>
                              <w:sz w:val="28"/>
                              <w:szCs w:val="28"/>
                            </w:rPr>
                            <w:t>24</w:t>
                          </w:r>
                          <w:r>
                            <w:rPr>
                              <w:rFonts w:hint="eastAsia" w:ascii="Courier New" w:hAnsi="Courier New" w:cs="Courier New"/>
                              <w:sz w:val="28"/>
                              <w:szCs w:val="28"/>
                            </w:rPr>
                            <w:fldChar w:fldCharType="end"/>
                          </w:r>
                          <w:r>
                            <w:rPr>
                              <w:rFonts w:hint="eastAsia" w:ascii="Courier New" w:hAnsi="Courier New" w:cs="Courier New"/>
                              <w:sz w:val="28"/>
                              <w:szCs w:val="28"/>
                            </w:rPr>
                            <w:t>—</w:t>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8.3pt;width:65.85pt;mso-position-horizontal:center;mso-position-horizontal-relative:margin;mso-wrap-style:none;z-index:251660288;mso-width-relative:page;mso-height-relative:page;" filled="f" stroked="f" coordsize="21600,21600" o:gfxdata="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zQtdNEAAAAEAQAADwAAAAAAAAABACAAAAAiAAAA&#10;ZHJzL2Rvd25yZXYueG1sUEsBAhQAFAAAAAgAh07iQNPvgQYOAgAAEAQAAA4AAAAAAAAAAQAgAAAA&#10;IAEAAGRycy9lMm9Eb2MueG1sUEsFBgAAAAAGAAYAWQEAAKAFAAAAAA==&#10;">
              <v:fill on="f" focussize="0,0"/>
              <v:stroke on="f"/>
              <v:imagedata o:title=""/>
              <o:lock v:ext="edit" aspectratio="f"/>
              <v:textbox inset="0mm,0mm,0mm,0mm" style="mso-fit-shape-to-text:t;">
                <w:txbxContent>
                  <w:p w14:paraId="1E4B0747">
                    <w:pPr>
                      <w:pStyle w:val="12"/>
                      <w:ind w:left="210" w:leftChars="100" w:right="210" w:rightChars="100"/>
                      <w:rPr>
                        <w:rFonts w:ascii="Courier New" w:hAnsi="Courier New" w:cs="Courier New"/>
                        <w:sz w:val="28"/>
                        <w:szCs w:val="28"/>
                      </w:rPr>
                    </w:pPr>
                    <w:r>
                      <w:rPr>
                        <w:rFonts w:hint="eastAsia" w:ascii="Courier New" w:hAnsi="Courier New" w:cs="Courier New"/>
                        <w:sz w:val="28"/>
                        <w:szCs w:val="28"/>
                      </w:rPr>
                      <w:t>—</w:t>
                    </w:r>
                    <w:r>
                      <w:rPr>
                        <w:rFonts w:hint="eastAsia" w:ascii="Courier New" w:hAnsi="Courier New" w:cs="Courier New"/>
                        <w:sz w:val="28"/>
                        <w:szCs w:val="28"/>
                      </w:rPr>
                      <w:fldChar w:fldCharType="begin"/>
                    </w:r>
                    <w:r>
                      <w:rPr>
                        <w:rFonts w:hint="eastAsia" w:ascii="Courier New" w:hAnsi="Courier New" w:cs="Courier New"/>
                        <w:sz w:val="28"/>
                        <w:szCs w:val="28"/>
                      </w:rPr>
                      <w:instrText xml:space="preserve"> PAGE  \* MERGEFORMAT </w:instrText>
                    </w:r>
                    <w:r>
                      <w:rPr>
                        <w:rFonts w:hint="eastAsia" w:ascii="Courier New" w:hAnsi="Courier New" w:cs="Courier New"/>
                        <w:sz w:val="28"/>
                        <w:szCs w:val="28"/>
                      </w:rPr>
                      <w:fldChar w:fldCharType="separate"/>
                    </w:r>
                    <w:r>
                      <w:rPr>
                        <w:rFonts w:ascii="Courier New" w:hAnsi="Courier New" w:cs="Courier New"/>
                        <w:sz w:val="28"/>
                        <w:szCs w:val="28"/>
                      </w:rPr>
                      <w:t>24</w:t>
                    </w:r>
                    <w:r>
                      <w:rPr>
                        <w:rFonts w:hint="eastAsia" w:ascii="Courier New" w:hAnsi="Courier New" w:cs="Courier New"/>
                        <w:sz w:val="28"/>
                        <w:szCs w:val="28"/>
                      </w:rPr>
                      <w:fldChar w:fldCharType="end"/>
                    </w:r>
                    <w:r>
                      <w:rPr>
                        <w:rFonts w:hint="eastAsia" w:ascii="Courier New" w:hAnsi="Courier New" w:cs="Courier New"/>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FAD8D">
    <w:pPr>
      <w:pStyle w:val="13"/>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8E32A">
    <w:pPr>
      <w:rPr>
        <w:rFonts w:ascii="Times New Roman" w:hAnsi="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2CAEF">
    <w:pPr>
      <w:pStyle w:val="13"/>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1D984">
    <w:pPr>
      <w:pStyle w:val="13"/>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6C563"/>
    <w:multiLevelType w:val="singleLevel"/>
    <w:tmpl w:val="8D06C563"/>
    <w:lvl w:ilvl="0" w:tentative="0">
      <w:start w:val="1"/>
      <w:numFmt w:val="decimal"/>
      <w:suff w:val="nothing"/>
      <w:lvlText w:val="%1．"/>
      <w:lvlJc w:val="left"/>
      <w:pPr>
        <w:ind w:left="0" w:firstLine="400"/>
      </w:pPr>
      <w:rPr>
        <w:rFonts w:hint="default"/>
      </w:rPr>
    </w:lvl>
  </w:abstractNum>
  <w:abstractNum w:abstractNumId="1">
    <w:nsid w:val="AA968B8D"/>
    <w:multiLevelType w:val="singleLevel"/>
    <w:tmpl w:val="AA968B8D"/>
    <w:lvl w:ilvl="0" w:tentative="0">
      <w:start w:val="1"/>
      <w:numFmt w:val="chineseCounting"/>
      <w:suff w:val="nothing"/>
      <w:lvlText w:val="（%1）"/>
      <w:lvlJc w:val="left"/>
      <w:pPr>
        <w:ind w:left="0" w:firstLine="420"/>
      </w:pPr>
      <w:rPr>
        <w:rFonts w:hint="eastAsia"/>
      </w:rPr>
    </w:lvl>
  </w:abstractNum>
  <w:abstractNum w:abstractNumId="2">
    <w:nsid w:val="B05C16E6"/>
    <w:multiLevelType w:val="multilevel"/>
    <w:tmpl w:val="B05C16E6"/>
    <w:lvl w:ilvl="0" w:tentative="0">
      <w:start w:val="1"/>
      <w:numFmt w:val="japaneseCounting"/>
      <w:suff w:val="nothing"/>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C71BEE00"/>
    <w:multiLevelType w:val="singleLevel"/>
    <w:tmpl w:val="C71BEE00"/>
    <w:lvl w:ilvl="0" w:tentative="0">
      <w:start w:val="1"/>
      <w:numFmt w:val="decimal"/>
      <w:lvlText w:val="%1."/>
      <w:lvlJc w:val="left"/>
      <w:pPr>
        <w:tabs>
          <w:tab w:val="left" w:pos="312"/>
        </w:tabs>
      </w:pPr>
    </w:lvl>
  </w:abstractNum>
  <w:abstractNum w:abstractNumId="4">
    <w:nsid w:val="CAF3E86A"/>
    <w:multiLevelType w:val="multilevel"/>
    <w:tmpl w:val="CAF3E86A"/>
    <w:lvl w:ilvl="0" w:tentative="0">
      <w:start w:val="1"/>
      <w:numFmt w:val="decimal"/>
      <w:suff w:val="nothing"/>
      <w:lvlText w:val="%1."/>
      <w:lvlJc w:val="left"/>
      <w:pPr>
        <w:ind w:left="420" w:hanging="420"/>
      </w:pPr>
      <w:rPr>
        <w:rFonts w:hint="eastAsia" w:ascii="宋体" w:hAnsi="宋体" w:eastAsia="宋体"/>
        <w:b w:val="0"/>
        <w:sz w:val="21"/>
        <w:szCs w:val="21"/>
      </w:rPr>
    </w:lvl>
    <w:lvl w:ilvl="1" w:tentative="0">
      <w:start w:val="1"/>
      <w:numFmt w:val="lowerLetter"/>
      <w:lvlText w:val="%2)"/>
      <w:lvlJc w:val="left"/>
      <w:pPr>
        <w:ind w:left="556" w:hanging="420"/>
      </w:pPr>
      <w:rPr>
        <w:rFonts w:hint="eastAsia"/>
      </w:rPr>
    </w:lvl>
    <w:lvl w:ilvl="2" w:tentative="0">
      <w:start w:val="1"/>
      <w:numFmt w:val="lowerRoman"/>
      <w:lvlText w:val="%3."/>
      <w:lvlJc w:val="right"/>
      <w:pPr>
        <w:ind w:left="976" w:hanging="420"/>
      </w:pPr>
      <w:rPr>
        <w:rFonts w:hint="eastAsia"/>
      </w:rPr>
    </w:lvl>
    <w:lvl w:ilvl="3" w:tentative="0">
      <w:start w:val="1"/>
      <w:numFmt w:val="decimal"/>
      <w:lvlText w:val="%4."/>
      <w:lvlJc w:val="left"/>
      <w:pPr>
        <w:ind w:left="1396" w:hanging="420"/>
      </w:pPr>
      <w:rPr>
        <w:rFonts w:hint="eastAsia"/>
      </w:rPr>
    </w:lvl>
    <w:lvl w:ilvl="4" w:tentative="0">
      <w:start w:val="1"/>
      <w:numFmt w:val="lowerLetter"/>
      <w:lvlText w:val="%5)"/>
      <w:lvlJc w:val="left"/>
      <w:pPr>
        <w:ind w:left="1816" w:hanging="420"/>
      </w:pPr>
      <w:rPr>
        <w:rFonts w:hint="eastAsia"/>
      </w:rPr>
    </w:lvl>
    <w:lvl w:ilvl="5" w:tentative="0">
      <w:start w:val="1"/>
      <w:numFmt w:val="lowerRoman"/>
      <w:lvlText w:val="%6."/>
      <w:lvlJc w:val="right"/>
      <w:pPr>
        <w:ind w:left="2236" w:hanging="420"/>
      </w:pPr>
      <w:rPr>
        <w:rFonts w:hint="eastAsia"/>
      </w:rPr>
    </w:lvl>
    <w:lvl w:ilvl="6" w:tentative="0">
      <w:start w:val="1"/>
      <w:numFmt w:val="decimal"/>
      <w:lvlText w:val="%7."/>
      <w:lvlJc w:val="left"/>
      <w:pPr>
        <w:ind w:left="2656" w:hanging="420"/>
      </w:pPr>
      <w:rPr>
        <w:rFonts w:hint="eastAsia"/>
      </w:rPr>
    </w:lvl>
    <w:lvl w:ilvl="7" w:tentative="0">
      <w:start w:val="1"/>
      <w:numFmt w:val="lowerLetter"/>
      <w:lvlText w:val="%8)"/>
      <w:lvlJc w:val="left"/>
      <w:pPr>
        <w:ind w:left="3076" w:hanging="420"/>
      </w:pPr>
      <w:rPr>
        <w:rFonts w:hint="eastAsia"/>
      </w:rPr>
    </w:lvl>
    <w:lvl w:ilvl="8" w:tentative="0">
      <w:start w:val="1"/>
      <w:numFmt w:val="lowerRoman"/>
      <w:lvlText w:val="%9."/>
      <w:lvlJc w:val="right"/>
      <w:pPr>
        <w:ind w:left="3496" w:hanging="420"/>
      </w:pPr>
      <w:rPr>
        <w:rFonts w:hint="eastAsia"/>
      </w:rPr>
    </w:lvl>
  </w:abstractNum>
  <w:abstractNum w:abstractNumId="5">
    <w:nsid w:val="FE462FA0"/>
    <w:multiLevelType w:val="singleLevel"/>
    <w:tmpl w:val="FE462FA0"/>
    <w:lvl w:ilvl="0" w:tentative="0">
      <w:start w:val="1"/>
      <w:numFmt w:val="chineseCounting"/>
      <w:suff w:val="nothing"/>
      <w:lvlText w:val="（%1）"/>
      <w:lvlJc w:val="left"/>
      <w:pPr>
        <w:ind w:left="0" w:firstLine="420"/>
      </w:pPr>
      <w:rPr>
        <w:rFonts w:hint="eastAsia"/>
      </w:rPr>
    </w:lvl>
  </w:abstractNum>
  <w:abstractNum w:abstractNumId="6">
    <w:nsid w:val="0000000C"/>
    <w:multiLevelType w:val="multilevel"/>
    <w:tmpl w:val="0000000C"/>
    <w:lvl w:ilvl="0" w:tentative="0">
      <w:start w:val="1"/>
      <w:numFmt w:val="chineseCountingThousand"/>
      <w:lvlText w:val="(%1)"/>
      <w:lvlJc w:val="left"/>
      <w:pPr>
        <w:ind w:left="420"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F"/>
    <w:multiLevelType w:val="multilevel"/>
    <w:tmpl w:val="0000000F"/>
    <w:lvl w:ilvl="0" w:tentative="0">
      <w:start w:val="1"/>
      <w:numFmt w:val="decimal"/>
      <w:lvlText w:val="%1."/>
      <w:lvlJc w:val="left"/>
      <w:pPr>
        <w:ind w:left="420" w:hanging="420"/>
      </w:pPr>
      <w:rPr>
        <w:rFonts w:hint="eastAsia" w:ascii="宋体" w:hAnsi="宋体" w:eastAsia="宋体"/>
        <w:b w:val="0"/>
        <w:sz w:val="21"/>
        <w:szCs w:val="21"/>
      </w:r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lvl>
    <w:lvl w:ilvl="4" w:tentative="0">
      <w:start w:val="1"/>
      <w:numFmt w:val="lowerLetter"/>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2656"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abstractNum w:abstractNumId="8">
    <w:nsid w:val="00000011"/>
    <w:multiLevelType w:val="multilevel"/>
    <w:tmpl w:val="00000011"/>
    <w:lvl w:ilvl="0" w:tentative="0">
      <w:start w:val="1"/>
      <w:numFmt w:val="decimal"/>
      <w:lvlText w:val="%1."/>
      <w:lvlJc w:val="left"/>
      <w:pPr>
        <w:ind w:left="420" w:hanging="420"/>
      </w:pPr>
      <w:rPr>
        <w:rFonts w:hint="eastAsia" w:ascii="宋体" w:hAnsi="宋体" w:eastAsia="宋体"/>
        <w:b w:val="0"/>
        <w:sz w:val="21"/>
        <w:szCs w:val="21"/>
      </w:r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lvl>
    <w:lvl w:ilvl="4" w:tentative="0">
      <w:start w:val="1"/>
      <w:numFmt w:val="lowerLetter"/>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2656"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abstractNum w:abstractNumId="9">
    <w:nsid w:val="03DD5FD5"/>
    <w:multiLevelType w:val="multilevel"/>
    <w:tmpl w:val="03DD5FD5"/>
    <w:lvl w:ilvl="0" w:tentative="0">
      <w:start w:val="1"/>
      <w:numFmt w:val="decimal"/>
      <w:lvlText w:val="%1."/>
      <w:lvlJc w:val="left"/>
      <w:pPr>
        <w:ind w:left="840" w:hanging="420"/>
      </w:pPr>
      <w:rPr>
        <w:rFonts w:hint="default" w:ascii="宋体" w:hAnsi="宋体" w:eastAsia="宋体"/>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0">
    <w:nsid w:val="0BB7554C"/>
    <w:multiLevelType w:val="singleLevel"/>
    <w:tmpl w:val="0BB7554C"/>
    <w:lvl w:ilvl="0" w:tentative="0">
      <w:start w:val="1"/>
      <w:numFmt w:val="chineseCounting"/>
      <w:suff w:val="nothing"/>
      <w:lvlText w:val="（%1）"/>
      <w:lvlJc w:val="left"/>
      <w:rPr>
        <w:rFonts w:hint="eastAsia"/>
      </w:rPr>
    </w:lvl>
  </w:abstractNum>
  <w:abstractNum w:abstractNumId="11">
    <w:nsid w:val="118D06D1"/>
    <w:multiLevelType w:val="multilevel"/>
    <w:tmpl w:val="118D06D1"/>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2">
    <w:nsid w:val="125214F2"/>
    <w:multiLevelType w:val="multilevel"/>
    <w:tmpl w:val="125214F2"/>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3">
    <w:nsid w:val="19632E79"/>
    <w:multiLevelType w:val="multilevel"/>
    <w:tmpl w:val="19632E79"/>
    <w:lvl w:ilvl="0" w:tentative="0">
      <w:start w:val="1"/>
      <w:numFmt w:val="decimal"/>
      <w:suff w:val="nothing"/>
      <w:lvlText w:val="（%1）"/>
      <w:lvlJc w:val="left"/>
      <w:pPr>
        <w:ind w:left="817" w:hanging="420"/>
      </w:pPr>
      <w:rPr>
        <w:rFonts w:hint="eastAsia"/>
      </w:rPr>
    </w:lvl>
    <w:lvl w:ilvl="1" w:tentative="0">
      <w:start w:val="1"/>
      <w:numFmt w:val="lowerLetter"/>
      <w:lvlText w:val="%2)"/>
      <w:lvlJc w:val="left"/>
      <w:pPr>
        <w:ind w:left="1237" w:hanging="420"/>
      </w:pPr>
    </w:lvl>
    <w:lvl w:ilvl="2" w:tentative="0">
      <w:start w:val="1"/>
      <w:numFmt w:val="lowerRoman"/>
      <w:lvlText w:val="%3."/>
      <w:lvlJc w:val="right"/>
      <w:pPr>
        <w:ind w:left="1657" w:hanging="420"/>
      </w:pPr>
    </w:lvl>
    <w:lvl w:ilvl="3" w:tentative="0">
      <w:start w:val="1"/>
      <w:numFmt w:val="decimal"/>
      <w:lvlText w:val="%4."/>
      <w:lvlJc w:val="left"/>
      <w:pPr>
        <w:ind w:left="2077" w:hanging="420"/>
      </w:pPr>
    </w:lvl>
    <w:lvl w:ilvl="4" w:tentative="0">
      <w:start w:val="1"/>
      <w:numFmt w:val="lowerLetter"/>
      <w:lvlText w:val="%5)"/>
      <w:lvlJc w:val="left"/>
      <w:pPr>
        <w:ind w:left="2497" w:hanging="420"/>
      </w:pPr>
    </w:lvl>
    <w:lvl w:ilvl="5" w:tentative="0">
      <w:start w:val="1"/>
      <w:numFmt w:val="lowerRoman"/>
      <w:lvlText w:val="%6."/>
      <w:lvlJc w:val="right"/>
      <w:pPr>
        <w:ind w:left="2917" w:hanging="420"/>
      </w:pPr>
    </w:lvl>
    <w:lvl w:ilvl="6" w:tentative="0">
      <w:start w:val="1"/>
      <w:numFmt w:val="decimal"/>
      <w:lvlText w:val="%7."/>
      <w:lvlJc w:val="left"/>
      <w:pPr>
        <w:ind w:left="3337" w:hanging="420"/>
      </w:pPr>
    </w:lvl>
    <w:lvl w:ilvl="7" w:tentative="0">
      <w:start w:val="1"/>
      <w:numFmt w:val="lowerLetter"/>
      <w:lvlText w:val="%8)"/>
      <w:lvlJc w:val="left"/>
      <w:pPr>
        <w:ind w:left="3757" w:hanging="420"/>
      </w:pPr>
    </w:lvl>
    <w:lvl w:ilvl="8" w:tentative="0">
      <w:start w:val="1"/>
      <w:numFmt w:val="lowerRoman"/>
      <w:lvlText w:val="%9."/>
      <w:lvlJc w:val="right"/>
      <w:pPr>
        <w:ind w:left="4177" w:hanging="420"/>
      </w:pPr>
    </w:lvl>
  </w:abstractNum>
  <w:abstractNum w:abstractNumId="14">
    <w:nsid w:val="1F2D2C1E"/>
    <w:multiLevelType w:val="multilevel"/>
    <w:tmpl w:val="1F2D2C1E"/>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decimal"/>
      <w:lvlText w:val="%3."/>
      <w:lvlJc w:val="left"/>
      <w:pPr>
        <w:ind w:left="845" w:hanging="420"/>
      </w:pPr>
      <w:rPr>
        <w:rFonts w:hint="eastAsia"/>
      </w:rPr>
    </w:lvl>
    <w:lvl w:ilvl="3" w:tentative="0">
      <w:start w:val="4"/>
      <w:numFmt w:val="japaneseCounting"/>
      <w:lvlText w:val="%4、"/>
      <w:lvlJc w:val="left"/>
      <w:pPr>
        <w:ind w:left="450" w:hanging="450"/>
      </w:pPr>
      <w:rPr>
        <w:rFonts w:hint="default"/>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1F582BD3"/>
    <w:multiLevelType w:val="multilevel"/>
    <w:tmpl w:val="1F582BD3"/>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215C76AC"/>
    <w:multiLevelType w:val="multilevel"/>
    <w:tmpl w:val="215C76AC"/>
    <w:lvl w:ilvl="0" w:tentative="0">
      <w:start w:val="1"/>
      <w:numFmt w:val="decimal"/>
      <w:lvlText w:val="%1."/>
      <w:lvlJc w:val="left"/>
      <w:pPr>
        <w:ind w:left="420" w:hanging="420"/>
      </w:pPr>
      <w:rPr>
        <w:rFonts w:hint="eastAsia"/>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7">
    <w:nsid w:val="227D41A0"/>
    <w:multiLevelType w:val="multilevel"/>
    <w:tmpl w:val="227D41A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8">
    <w:nsid w:val="24702718"/>
    <w:multiLevelType w:val="multilevel"/>
    <w:tmpl w:val="24702718"/>
    <w:lvl w:ilvl="0" w:tentative="0">
      <w:start w:val="1"/>
      <w:numFmt w:val="decimal"/>
      <w:lvlText w:val="%1."/>
      <w:lvlJc w:val="left"/>
      <w:pPr>
        <w:ind w:left="817" w:hanging="420"/>
      </w:pPr>
    </w:lvl>
    <w:lvl w:ilvl="1" w:tentative="0">
      <w:start w:val="1"/>
      <w:numFmt w:val="lowerLetter"/>
      <w:lvlText w:val="%2)"/>
      <w:lvlJc w:val="left"/>
      <w:pPr>
        <w:ind w:left="1237" w:hanging="420"/>
      </w:pPr>
    </w:lvl>
    <w:lvl w:ilvl="2" w:tentative="0">
      <w:start w:val="1"/>
      <w:numFmt w:val="lowerRoman"/>
      <w:lvlText w:val="%3."/>
      <w:lvlJc w:val="right"/>
      <w:pPr>
        <w:ind w:left="1657" w:hanging="420"/>
      </w:pPr>
    </w:lvl>
    <w:lvl w:ilvl="3" w:tentative="0">
      <w:start w:val="1"/>
      <w:numFmt w:val="decimal"/>
      <w:lvlText w:val="%4."/>
      <w:lvlJc w:val="left"/>
      <w:pPr>
        <w:ind w:left="2077" w:hanging="420"/>
      </w:pPr>
    </w:lvl>
    <w:lvl w:ilvl="4" w:tentative="0">
      <w:start w:val="1"/>
      <w:numFmt w:val="lowerLetter"/>
      <w:lvlText w:val="%5)"/>
      <w:lvlJc w:val="left"/>
      <w:pPr>
        <w:ind w:left="2497" w:hanging="420"/>
      </w:pPr>
    </w:lvl>
    <w:lvl w:ilvl="5" w:tentative="0">
      <w:start w:val="1"/>
      <w:numFmt w:val="lowerRoman"/>
      <w:lvlText w:val="%6."/>
      <w:lvlJc w:val="right"/>
      <w:pPr>
        <w:ind w:left="2917" w:hanging="420"/>
      </w:pPr>
    </w:lvl>
    <w:lvl w:ilvl="6" w:tentative="0">
      <w:start w:val="1"/>
      <w:numFmt w:val="decimal"/>
      <w:lvlText w:val="%7."/>
      <w:lvlJc w:val="left"/>
      <w:pPr>
        <w:ind w:left="3337" w:hanging="420"/>
      </w:pPr>
    </w:lvl>
    <w:lvl w:ilvl="7" w:tentative="0">
      <w:start w:val="1"/>
      <w:numFmt w:val="lowerLetter"/>
      <w:lvlText w:val="%8)"/>
      <w:lvlJc w:val="left"/>
      <w:pPr>
        <w:ind w:left="3757" w:hanging="420"/>
      </w:pPr>
    </w:lvl>
    <w:lvl w:ilvl="8" w:tentative="0">
      <w:start w:val="1"/>
      <w:numFmt w:val="lowerRoman"/>
      <w:lvlText w:val="%9."/>
      <w:lvlJc w:val="right"/>
      <w:pPr>
        <w:ind w:left="4177" w:hanging="420"/>
      </w:pPr>
    </w:lvl>
  </w:abstractNum>
  <w:abstractNum w:abstractNumId="19">
    <w:nsid w:val="2C6553F7"/>
    <w:multiLevelType w:val="multilevel"/>
    <w:tmpl w:val="2C6553F7"/>
    <w:lvl w:ilvl="0" w:tentative="0">
      <w:start w:val="1"/>
      <w:numFmt w:val="japaneseCounting"/>
      <w:lvlText w:val="%1、"/>
      <w:lvlJc w:val="left"/>
      <w:pPr>
        <w:tabs>
          <w:tab w:val="left" w:pos="480"/>
        </w:tabs>
        <w:ind w:left="480" w:hanging="48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2C8C3903"/>
    <w:multiLevelType w:val="multilevel"/>
    <w:tmpl w:val="2C8C3903"/>
    <w:lvl w:ilvl="0" w:tentative="0">
      <w:start w:val="1"/>
      <w:numFmt w:val="decimal"/>
      <w:lvlText w:val="（%1）"/>
      <w:lvlJc w:val="left"/>
      <w:pPr>
        <w:ind w:left="420" w:hanging="420"/>
      </w:pPr>
      <w:rPr>
        <w:rFonts w:hint="eastAsia"/>
      </w:rPr>
    </w:lvl>
    <w:lvl w:ilvl="1" w:tentative="0">
      <w:start w:val="1"/>
      <w:numFmt w:val="decimal"/>
      <w:suff w:val="nothing"/>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31CC107F"/>
    <w:multiLevelType w:val="multilevel"/>
    <w:tmpl w:val="31CC107F"/>
    <w:lvl w:ilvl="0" w:tentative="0">
      <w:start w:val="1"/>
      <w:numFmt w:val="chineseCountingThousand"/>
      <w:lvlText w:val="(%1)"/>
      <w:lvlJc w:val="left"/>
      <w:pPr>
        <w:ind w:left="420"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34433F59"/>
    <w:multiLevelType w:val="multilevel"/>
    <w:tmpl w:val="34433F59"/>
    <w:lvl w:ilvl="0" w:tentative="0">
      <w:start w:val="1"/>
      <w:numFmt w:val="chineseCountingThousand"/>
      <w:suff w:val="nothing"/>
      <w:lvlText w:val="(%1)"/>
      <w:lvlJc w:val="left"/>
      <w:pPr>
        <w:ind w:left="420" w:hanging="420"/>
      </w:pPr>
      <w:rPr>
        <w:rFonts w:hint="eastAsia"/>
        <w:b/>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3">
    <w:nsid w:val="3ADB34AA"/>
    <w:multiLevelType w:val="singleLevel"/>
    <w:tmpl w:val="3ADB34AA"/>
    <w:lvl w:ilvl="0" w:tentative="0">
      <w:start w:val="1"/>
      <w:numFmt w:val="decimal"/>
      <w:lvlText w:val="%1."/>
      <w:lvlJc w:val="left"/>
      <w:pPr>
        <w:ind w:left="425" w:hanging="425"/>
      </w:pPr>
      <w:rPr>
        <w:rFonts w:hint="default"/>
      </w:rPr>
    </w:lvl>
  </w:abstractNum>
  <w:abstractNum w:abstractNumId="24">
    <w:nsid w:val="3C2E709B"/>
    <w:multiLevelType w:val="multilevel"/>
    <w:tmpl w:val="3C2E709B"/>
    <w:lvl w:ilvl="0" w:tentative="0">
      <w:start w:val="1"/>
      <w:numFmt w:val="decimal"/>
      <w:lvlText w:val="%1."/>
      <w:lvlJc w:val="left"/>
      <w:pPr>
        <w:ind w:left="840" w:hanging="420"/>
      </w:pPr>
      <w:rPr>
        <w:rFonts w:hint="eastAsia" w:ascii="宋体" w:hAnsi="宋体" w:eastAsia="宋体"/>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25">
    <w:nsid w:val="3CE44964"/>
    <w:multiLevelType w:val="multilevel"/>
    <w:tmpl w:val="3CE44964"/>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26">
    <w:nsid w:val="3E7E35BD"/>
    <w:multiLevelType w:val="multilevel"/>
    <w:tmpl w:val="3E7E35BD"/>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7">
    <w:nsid w:val="44B635F0"/>
    <w:multiLevelType w:val="multilevel"/>
    <w:tmpl w:val="44B635F0"/>
    <w:lvl w:ilvl="0" w:tentative="0">
      <w:start w:val="1"/>
      <w:numFmt w:val="decimal"/>
      <w:suff w:val="nothing"/>
      <w:lvlText w:val="（%1）"/>
      <w:lvlJc w:val="left"/>
      <w:pPr>
        <w:ind w:left="817" w:hanging="420"/>
      </w:pPr>
      <w:rPr>
        <w:rFonts w:hint="eastAsia"/>
      </w:rPr>
    </w:lvl>
    <w:lvl w:ilvl="1" w:tentative="0">
      <w:start w:val="1"/>
      <w:numFmt w:val="lowerLetter"/>
      <w:lvlText w:val="%2)"/>
      <w:lvlJc w:val="left"/>
      <w:pPr>
        <w:ind w:left="1237" w:hanging="420"/>
      </w:pPr>
    </w:lvl>
    <w:lvl w:ilvl="2" w:tentative="0">
      <w:start w:val="1"/>
      <w:numFmt w:val="lowerRoman"/>
      <w:lvlText w:val="%3."/>
      <w:lvlJc w:val="right"/>
      <w:pPr>
        <w:ind w:left="1657" w:hanging="420"/>
      </w:pPr>
    </w:lvl>
    <w:lvl w:ilvl="3" w:tentative="0">
      <w:start w:val="1"/>
      <w:numFmt w:val="decimal"/>
      <w:lvlText w:val="%4."/>
      <w:lvlJc w:val="left"/>
      <w:pPr>
        <w:ind w:left="2077" w:hanging="420"/>
      </w:pPr>
    </w:lvl>
    <w:lvl w:ilvl="4" w:tentative="0">
      <w:start w:val="1"/>
      <w:numFmt w:val="lowerLetter"/>
      <w:lvlText w:val="%5)"/>
      <w:lvlJc w:val="left"/>
      <w:pPr>
        <w:ind w:left="2497" w:hanging="420"/>
      </w:pPr>
    </w:lvl>
    <w:lvl w:ilvl="5" w:tentative="0">
      <w:start w:val="1"/>
      <w:numFmt w:val="lowerRoman"/>
      <w:lvlText w:val="%6."/>
      <w:lvlJc w:val="right"/>
      <w:pPr>
        <w:ind w:left="2917" w:hanging="420"/>
      </w:pPr>
    </w:lvl>
    <w:lvl w:ilvl="6" w:tentative="0">
      <w:start w:val="1"/>
      <w:numFmt w:val="decimal"/>
      <w:lvlText w:val="%7."/>
      <w:lvlJc w:val="left"/>
      <w:pPr>
        <w:ind w:left="3337" w:hanging="420"/>
      </w:pPr>
    </w:lvl>
    <w:lvl w:ilvl="7" w:tentative="0">
      <w:start w:val="1"/>
      <w:numFmt w:val="lowerLetter"/>
      <w:lvlText w:val="%8)"/>
      <w:lvlJc w:val="left"/>
      <w:pPr>
        <w:ind w:left="3757" w:hanging="420"/>
      </w:pPr>
    </w:lvl>
    <w:lvl w:ilvl="8" w:tentative="0">
      <w:start w:val="1"/>
      <w:numFmt w:val="lowerRoman"/>
      <w:lvlText w:val="%9."/>
      <w:lvlJc w:val="right"/>
      <w:pPr>
        <w:ind w:left="4177" w:hanging="420"/>
      </w:pPr>
    </w:lvl>
  </w:abstractNum>
  <w:abstractNum w:abstractNumId="28">
    <w:nsid w:val="4501719F"/>
    <w:multiLevelType w:val="multilevel"/>
    <w:tmpl w:val="4501719F"/>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59794862"/>
    <w:multiLevelType w:val="multilevel"/>
    <w:tmpl w:val="59794862"/>
    <w:lvl w:ilvl="0" w:tentative="0">
      <w:start w:val="1"/>
      <w:numFmt w:val="decimal"/>
      <w:lvlText w:val="%1."/>
      <w:lvlJc w:val="left"/>
      <w:pPr>
        <w:ind w:left="840" w:hanging="420"/>
      </w:pPr>
      <w:rPr>
        <w:rFonts w:hint="default"/>
        <w:b w:val="0"/>
        <w:bCs w:val="0"/>
        <w:sz w:val="21"/>
        <w:szCs w:val="21"/>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30">
    <w:nsid w:val="5C378DF6"/>
    <w:multiLevelType w:val="singleLevel"/>
    <w:tmpl w:val="5C378DF6"/>
    <w:lvl w:ilvl="0" w:tentative="0">
      <w:start w:val="1"/>
      <w:numFmt w:val="decimalEnclosedCircleChinese"/>
      <w:suff w:val="nothing"/>
      <w:lvlText w:val="%1"/>
      <w:lvlJc w:val="left"/>
      <w:pPr>
        <w:ind w:left="0" w:firstLine="397"/>
      </w:pPr>
      <w:rPr>
        <w:rFonts w:hint="eastAsia"/>
      </w:rPr>
    </w:lvl>
  </w:abstractNum>
  <w:abstractNum w:abstractNumId="31">
    <w:nsid w:val="65791538"/>
    <w:multiLevelType w:val="multilevel"/>
    <w:tmpl w:val="65791538"/>
    <w:lvl w:ilvl="0" w:tentative="0">
      <w:start w:val="1"/>
      <w:numFmt w:val="decimal"/>
      <w:suff w:val="nothing"/>
      <w:lvlText w:val="%1."/>
      <w:lvlJc w:val="left"/>
      <w:pPr>
        <w:ind w:left="420" w:hanging="420"/>
      </w:pPr>
      <w:rPr>
        <w:rFonts w:hint="eastAsia" w:ascii="宋体" w:hAnsi="宋体" w:eastAsia="宋体"/>
        <w:b w:val="0"/>
        <w:sz w:val="21"/>
        <w:szCs w:val="21"/>
      </w:rPr>
    </w:lvl>
    <w:lvl w:ilvl="1" w:tentative="0">
      <w:start w:val="1"/>
      <w:numFmt w:val="lowerLetter"/>
      <w:lvlText w:val="%2)"/>
      <w:lvlJc w:val="left"/>
      <w:pPr>
        <w:ind w:left="556" w:hanging="420"/>
      </w:pPr>
      <w:rPr>
        <w:rFonts w:hint="eastAsia"/>
      </w:rPr>
    </w:lvl>
    <w:lvl w:ilvl="2" w:tentative="0">
      <w:start w:val="1"/>
      <w:numFmt w:val="lowerRoman"/>
      <w:lvlText w:val="%3."/>
      <w:lvlJc w:val="right"/>
      <w:pPr>
        <w:ind w:left="976" w:hanging="420"/>
      </w:pPr>
      <w:rPr>
        <w:rFonts w:hint="eastAsia"/>
      </w:rPr>
    </w:lvl>
    <w:lvl w:ilvl="3" w:tentative="0">
      <w:start w:val="1"/>
      <w:numFmt w:val="decimal"/>
      <w:lvlText w:val="%4."/>
      <w:lvlJc w:val="left"/>
      <w:pPr>
        <w:ind w:left="1396" w:hanging="420"/>
      </w:pPr>
      <w:rPr>
        <w:rFonts w:hint="eastAsia"/>
      </w:rPr>
    </w:lvl>
    <w:lvl w:ilvl="4" w:tentative="0">
      <w:start w:val="1"/>
      <w:numFmt w:val="lowerLetter"/>
      <w:lvlText w:val="%5)"/>
      <w:lvlJc w:val="left"/>
      <w:pPr>
        <w:ind w:left="1816" w:hanging="420"/>
      </w:pPr>
      <w:rPr>
        <w:rFonts w:hint="eastAsia"/>
      </w:rPr>
    </w:lvl>
    <w:lvl w:ilvl="5" w:tentative="0">
      <w:start w:val="1"/>
      <w:numFmt w:val="lowerRoman"/>
      <w:lvlText w:val="%6."/>
      <w:lvlJc w:val="right"/>
      <w:pPr>
        <w:ind w:left="2236" w:hanging="420"/>
      </w:pPr>
      <w:rPr>
        <w:rFonts w:hint="eastAsia"/>
      </w:rPr>
    </w:lvl>
    <w:lvl w:ilvl="6" w:tentative="0">
      <w:start w:val="1"/>
      <w:numFmt w:val="decimal"/>
      <w:lvlText w:val="%7."/>
      <w:lvlJc w:val="left"/>
      <w:pPr>
        <w:ind w:left="2656" w:hanging="420"/>
      </w:pPr>
      <w:rPr>
        <w:rFonts w:hint="eastAsia"/>
      </w:rPr>
    </w:lvl>
    <w:lvl w:ilvl="7" w:tentative="0">
      <w:start w:val="1"/>
      <w:numFmt w:val="lowerLetter"/>
      <w:lvlText w:val="%8)"/>
      <w:lvlJc w:val="left"/>
      <w:pPr>
        <w:ind w:left="3076" w:hanging="420"/>
      </w:pPr>
      <w:rPr>
        <w:rFonts w:hint="eastAsia"/>
      </w:rPr>
    </w:lvl>
    <w:lvl w:ilvl="8" w:tentative="0">
      <w:start w:val="1"/>
      <w:numFmt w:val="lowerRoman"/>
      <w:lvlText w:val="%9."/>
      <w:lvlJc w:val="right"/>
      <w:pPr>
        <w:ind w:left="3496" w:hanging="420"/>
      </w:pPr>
      <w:rPr>
        <w:rFonts w:hint="eastAsia"/>
      </w:rPr>
    </w:lvl>
  </w:abstractNum>
  <w:abstractNum w:abstractNumId="32">
    <w:nsid w:val="69D25C81"/>
    <w:multiLevelType w:val="multilevel"/>
    <w:tmpl w:val="69D25C81"/>
    <w:lvl w:ilvl="0" w:tentative="0">
      <w:start w:val="1"/>
      <w:numFmt w:val="decimal"/>
      <w:lvlText w:val="%1."/>
      <w:lvlJc w:val="left"/>
      <w:pPr>
        <w:ind w:left="817" w:hanging="420"/>
      </w:pPr>
      <w:rPr>
        <w:rFonts w:hint="eastAsia"/>
      </w:rPr>
    </w:lvl>
    <w:lvl w:ilvl="1" w:tentative="0">
      <w:start w:val="1"/>
      <w:numFmt w:val="lowerLetter"/>
      <w:lvlText w:val="%2)"/>
      <w:lvlJc w:val="left"/>
      <w:pPr>
        <w:ind w:left="1237" w:hanging="420"/>
      </w:pPr>
    </w:lvl>
    <w:lvl w:ilvl="2" w:tentative="0">
      <w:start w:val="1"/>
      <w:numFmt w:val="lowerRoman"/>
      <w:lvlText w:val="%3."/>
      <w:lvlJc w:val="right"/>
      <w:pPr>
        <w:ind w:left="1657" w:hanging="420"/>
      </w:pPr>
    </w:lvl>
    <w:lvl w:ilvl="3" w:tentative="0">
      <w:start w:val="1"/>
      <w:numFmt w:val="decimal"/>
      <w:lvlText w:val="%4."/>
      <w:lvlJc w:val="left"/>
      <w:pPr>
        <w:ind w:left="2077" w:hanging="420"/>
      </w:pPr>
    </w:lvl>
    <w:lvl w:ilvl="4" w:tentative="0">
      <w:start w:val="1"/>
      <w:numFmt w:val="lowerLetter"/>
      <w:lvlText w:val="%5)"/>
      <w:lvlJc w:val="left"/>
      <w:pPr>
        <w:ind w:left="2497" w:hanging="420"/>
      </w:pPr>
    </w:lvl>
    <w:lvl w:ilvl="5" w:tentative="0">
      <w:start w:val="1"/>
      <w:numFmt w:val="lowerRoman"/>
      <w:lvlText w:val="%6."/>
      <w:lvlJc w:val="right"/>
      <w:pPr>
        <w:ind w:left="2917" w:hanging="420"/>
      </w:pPr>
    </w:lvl>
    <w:lvl w:ilvl="6" w:tentative="0">
      <w:start w:val="1"/>
      <w:numFmt w:val="decimal"/>
      <w:lvlText w:val="%7."/>
      <w:lvlJc w:val="left"/>
      <w:pPr>
        <w:ind w:left="3337" w:hanging="420"/>
      </w:pPr>
    </w:lvl>
    <w:lvl w:ilvl="7" w:tentative="0">
      <w:start w:val="1"/>
      <w:numFmt w:val="lowerLetter"/>
      <w:lvlText w:val="%8)"/>
      <w:lvlJc w:val="left"/>
      <w:pPr>
        <w:ind w:left="3757" w:hanging="420"/>
      </w:pPr>
    </w:lvl>
    <w:lvl w:ilvl="8" w:tentative="0">
      <w:start w:val="1"/>
      <w:numFmt w:val="lowerRoman"/>
      <w:lvlText w:val="%9."/>
      <w:lvlJc w:val="right"/>
      <w:pPr>
        <w:ind w:left="4177" w:hanging="420"/>
      </w:pPr>
    </w:lvl>
  </w:abstractNum>
  <w:abstractNum w:abstractNumId="33">
    <w:nsid w:val="6B3B1100"/>
    <w:multiLevelType w:val="multilevel"/>
    <w:tmpl w:val="6B3B1100"/>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6E19083E"/>
    <w:multiLevelType w:val="multilevel"/>
    <w:tmpl w:val="6E19083E"/>
    <w:lvl w:ilvl="0" w:tentative="0">
      <w:start w:val="1"/>
      <w:numFmt w:val="decimal"/>
      <w:lvlText w:val="%1."/>
      <w:lvlJc w:val="left"/>
      <w:pPr>
        <w:ind w:left="420" w:hanging="420"/>
      </w:pPr>
      <w:rPr>
        <w:rFonts w:hint="eastAsia" w:ascii="宋体" w:hAnsi="宋体" w:eastAsia="宋体"/>
        <w:b/>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5">
    <w:nsid w:val="74594F00"/>
    <w:multiLevelType w:val="multilevel"/>
    <w:tmpl w:val="74594F00"/>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chineseCountingThousand"/>
      <w:suff w:val="nothing"/>
      <w:lvlText w:val="%3、"/>
      <w:lvlJc w:val="left"/>
      <w:pPr>
        <w:ind w:left="2830" w:hanging="420"/>
      </w:pPr>
      <w:rPr>
        <w:rFonts w:hint="eastAsia"/>
        <w:b/>
        <w:sz w:val="21"/>
        <w:szCs w:val="21"/>
        <w:lang w:val="en-US"/>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22"/>
  </w:num>
  <w:num w:numId="3">
    <w:abstractNumId w:val="25"/>
  </w:num>
  <w:num w:numId="4">
    <w:abstractNumId w:val="16"/>
  </w:num>
  <w:num w:numId="5">
    <w:abstractNumId w:val="14"/>
  </w:num>
  <w:num w:numId="6">
    <w:abstractNumId w:val="29"/>
  </w:num>
  <w:num w:numId="7">
    <w:abstractNumId w:val="24"/>
  </w:num>
  <w:num w:numId="8">
    <w:abstractNumId w:val="9"/>
  </w:num>
  <w:num w:numId="9">
    <w:abstractNumId w:val="12"/>
  </w:num>
  <w:num w:numId="10">
    <w:abstractNumId w:val="26"/>
  </w:num>
  <w:num w:numId="11">
    <w:abstractNumId w:val="11"/>
  </w:num>
  <w:num w:numId="12">
    <w:abstractNumId w:val="15"/>
  </w:num>
  <w:num w:numId="13">
    <w:abstractNumId w:val="17"/>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num>
  <w:num w:numId="16">
    <w:abstractNumId w:val="1"/>
  </w:num>
  <w:num w:numId="17">
    <w:abstractNumId w:val="32"/>
  </w:num>
  <w:num w:numId="18">
    <w:abstractNumId w:val="18"/>
  </w:num>
  <w:num w:numId="19">
    <w:abstractNumId w:val="27"/>
  </w:num>
  <w:num w:numId="20">
    <w:abstractNumId w:val="30"/>
  </w:num>
  <w:num w:numId="21">
    <w:abstractNumId w:val="13"/>
  </w:num>
  <w:num w:numId="22">
    <w:abstractNumId w:val="0"/>
  </w:num>
  <w:num w:numId="23">
    <w:abstractNumId w:val="5"/>
  </w:num>
  <w:num w:numId="24">
    <w:abstractNumId w:val="6"/>
  </w:num>
  <w:num w:numId="25">
    <w:abstractNumId w:val="33"/>
  </w:num>
  <w:num w:numId="26">
    <w:abstractNumId w:val="3"/>
  </w:num>
  <w:num w:numId="27">
    <w:abstractNumId w:val="21"/>
  </w:num>
  <w:num w:numId="28">
    <w:abstractNumId w:val="8"/>
  </w:num>
  <w:num w:numId="29">
    <w:abstractNumId w:val="7"/>
  </w:num>
  <w:num w:numId="30">
    <w:abstractNumId w:val="31"/>
  </w:num>
  <w:num w:numId="31">
    <w:abstractNumId w:val="4"/>
  </w:num>
  <w:num w:numId="32">
    <w:abstractNumId w:val="34"/>
  </w:num>
  <w:num w:numId="33">
    <w:abstractNumId w:val="20"/>
  </w:num>
  <w:num w:numId="34">
    <w:abstractNumId w:val="19"/>
  </w:num>
  <w:num w:numId="35">
    <w:abstractNumId w:val="23"/>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1"/>
  <w:bordersDoNotSurroundFooter w:val="1"/>
  <w:revisionView w:markup="0"/>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10.15.0.92:8088/seeyon/kgOfficeServlet?tolen=b48cf97bf66acdd2487edb87b213edf8&amp;tko=KINGGRID_JSAPI&amp;m=s"/>
  </w:docVars>
  <w:rsids>
    <w:rsidRoot w:val="30A45FE1"/>
    <w:rsid w:val="00000816"/>
    <w:rsid w:val="00001F37"/>
    <w:rsid w:val="00005BD8"/>
    <w:rsid w:val="0002459C"/>
    <w:rsid w:val="0002637B"/>
    <w:rsid w:val="000275A6"/>
    <w:rsid w:val="00031AB0"/>
    <w:rsid w:val="00031E9E"/>
    <w:rsid w:val="00032B81"/>
    <w:rsid w:val="00033DED"/>
    <w:rsid w:val="00041E9E"/>
    <w:rsid w:val="0004505D"/>
    <w:rsid w:val="00056776"/>
    <w:rsid w:val="00057ACF"/>
    <w:rsid w:val="00063281"/>
    <w:rsid w:val="00063CE2"/>
    <w:rsid w:val="00064ED3"/>
    <w:rsid w:val="00072C66"/>
    <w:rsid w:val="000737C5"/>
    <w:rsid w:val="00074924"/>
    <w:rsid w:val="00075DD5"/>
    <w:rsid w:val="000963DF"/>
    <w:rsid w:val="00097500"/>
    <w:rsid w:val="0009754C"/>
    <w:rsid w:val="000A27A8"/>
    <w:rsid w:val="000A4986"/>
    <w:rsid w:val="000A684F"/>
    <w:rsid w:val="000B0E8C"/>
    <w:rsid w:val="000B37C7"/>
    <w:rsid w:val="000B41F1"/>
    <w:rsid w:val="000C0C57"/>
    <w:rsid w:val="000C7FAD"/>
    <w:rsid w:val="000D2D51"/>
    <w:rsid w:val="000D6E92"/>
    <w:rsid w:val="000D708E"/>
    <w:rsid w:val="000E4E73"/>
    <w:rsid w:val="000E606E"/>
    <w:rsid w:val="000F3B03"/>
    <w:rsid w:val="000F7D67"/>
    <w:rsid w:val="001064C3"/>
    <w:rsid w:val="001105FC"/>
    <w:rsid w:val="00115BA1"/>
    <w:rsid w:val="0011733E"/>
    <w:rsid w:val="00127F43"/>
    <w:rsid w:val="00136BBF"/>
    <w:rsid w:val="00136FB3"/>
    <w:rsid w:val="001377C0"/>
    <w:rsid w:val="00142F78"/>
    <w:rsid w:val="001431A1"/>
    <w:rsid w:val="0014405E"/>
    <w:rsid w:val="00147718"/>
    <w:rsid w:val="0015053E"/>
    <w:rsid w:val="001541EA"/>
    <w:rsid w:val="0016391A"/>
    <w:rsid w:val="00165E6E"/>
    <w:rsid w:val="0017556B"/>
    <w:rsid w:val="00175D5D"/>
    <w:rsid w:val="0018184B"/>
    <w:rsid w:val="00185483"/>
    <w:rsid w:val="001857F5"/>
    <w:rsid w:val="00186019"/>
    <w:rsid w:val="00190CED"/>
    <w:rsid w:val="001946F1"/>
    <w:rsid w:val="00194C0C"/>
    <w:rsid w:val="001A0091"/>
    <w:rsid w:val="001A14C8"/>
    <w:rsid w:val="001A6D1F"/>
    <w:rsid w:val="001B2A8A"/>
    <w:rsid w:val="001B303D"/>
    <w:rsid w:val="001C3088"/>
    <w:rsid w:val="001C3A1D"/>
    <w:rsid w:val="001D4AC1"/>
    <w:rsid w:val="001E0295"/>
    <w:rsid w:val="001E1A92"/>
    <w:rsid w:val="001E3753"/>
    <w:rsid w:val="001E6C14"/>
    <w:rsid w:val="001E7706"/>
    <w:rsid w:val="001F1DA3"/>
    <w:rsid w:val="001F26AD"/>
    <w:rsid w:val="001F73A0"/>
    <w:rsid w:val="002014CD"/>
    <w:rsid w:val="002025FA"/>
    <w:rsid w:val="0020492D"/>
    <w:rsid w:val="00207806"/>
    <w:rsid w:val="00210B3A"/>
    <w:rsid w:val="00216906"/>
    <w:rsid w:val="0022047C"/>
    <w:rsid w:val="00221AE3"/>
    <w:rsid w:val="002221FE"/>
    <w:rsid w:val="00222302"/>
    <w:rsid w:val="00222C77"/>
    <w:rsid w:val="002314BF"/>
    <w:rsid w:val="0023284E"/>
    <w:rsid w:val="00234338"/>
    <w:rsid w:val="00234E98"/>
    <w:rsid w:val="00250408"/>
    <w:rsid w:val="00252B2E"/>
    <w:rsid w:val="00253536"/>
    <w:rsid w:val="002573DC"/>
    <w:rsid w:val="0025778A"/>
    <w:rsid w:val="00264385"/>
    <w:rsid w:val="00266D90"/>
    <w:rsid w:val="0027236D"/>
    <w:rsid w:val="00274556"/>
    <w:rsid w:val="00275BC6"/>
    <w:rsid w:val="00283341"/>
    <w:rsid w:val="00283DB3"/>
    <w:rsid w:val="00293138"/>
    <w:rsid w:val="00297CC3"/>
    <w:rsid w:val="002A004F"/>
    <w:rsid w:val="002A169D"/>
    <w:rsid w:val="002A652F"/>
    <w:rsid w:val="002A7F75"/>
    <w:rsid w:val="002B1449"/>
    <w:rsid w:val="002B23A8"/>
    <w:rsid w:val="002B48C7"/>
    <w:rsid w:val="002C0938"/>
    <w:rsid w:val="002C306D"/>
    <w:rsid w:val="002D1239"/>
    <w:rsid w:val="002D19CE"/>
    <w:rsid w:val="002D6967"/>
    <w:rsid w:val="002D79EC"/>
    <w:rsid w:val="002D7DC3"/>
    <w:rsid w:val="002E288A"/>
    <w:rsid w:val="002E5CB1"/>
    <w:rsid w:val="002E6322"/>
    <w:rsid w:val="002E7050"/>
    <w:rsid w:val="003060A6"/>
    <w:rsid w:val="003163C4"/>
    <w:rsid w:val="00316DAC"/>
    <w:rsid w:val="00322CAD"/>
    <w:rsid w:val="003239EB"/>
    <w:rsid w:val="003265CE"/>
    <w:rsid w:val="00331B0A"/>
    <w:rsid w:val="00346571"/>
    <w:rsid w:val="003532B1"/>
    <w:rsid w:val="00364E72"/>
    <w:rsid w:val="00370A15"/>
    <w:rsid w:val="00371FB4"/>
    <w:rsid w:val="0037243E"/>
    <w:rsid w:val="00373706"/>
    <w:rsid w:val="003745C8"/>
    <w:rsid w:val="003747FF"/>
    <w:rsid w:val="00375C97"/>
    <w:rsid w:val="003821ED"/>
    <w:rsid w:val="00382D73"/>
    <w:rsid w:val="00390E22"/>
    <w:rsid w:val="00396CA0"/>
    <w:rsid w:val="00396EF2"/>
    <w:rsid w:val="00397691"/>
    <w:rsid w:val="003A3B5B"/>
    <w:rsid w:val="003A3D5F"/>
    <w:rsid w:val="003C3452"/>
    <w:rsid w:val="003C6484"/>
    <w:rsid w:val="003D5FCF"/>
    <w:rsid w:val="003D689F"/>
    <w:rsid w:val="003F4E29"/>
    <w:rsid w:val="003F5933"/>
    <w:rsid w:val="00403B14"/>
    <w:rsid w:val="00404385"/>
    <w:rsid w:val="00416520"/>
    <w:rsid w:val="004177E2"/>
    <w:rsid w:val="004234D3"/>
    <w:rsid w:val="00424B9A"/>
    <w:rsid w:val="0042502F"/>
    <w:rsid w:val="004259F3"/>
    <w:rsid w:val="00427241"/>
    <w:rsid w:val="00430886"/>
    <w:rsid w:val="00433982"/>
    <w:rsid w:val="00434AB5"/>
    <w:rsid w:val="00456658"/>
    <w:rsid w:val="00457C3B"/>
    <w:rsid w:val="00460126"/>
    <w:rsid w:val="004604DA"/>
    <w:rsid w:val="00471989"/>
    <w:rsid w:val="004735EF"/>
    <w:rsid w:val="00473BEF"/>
    <w:rsid w:val="0048012B"/>
    <w:rsid w:val="00484270"/>
    <w:rsid w:val="00487F3F"/>
    <w:rsid w:val="00490C21"/>
    <w:rsid w:val="00493E16"/>
    <w:rsid w:val="004961AD"/>
    <w:rsid w:val="004A2E00"/>
    <w:rsid w:val="004A5CA5"/>
    <w:rsid w:val="004B2311"/>
    <w:rsid w:val="004B7351"/>
    <w:rsid w:val="004C02BB"/>
    <w:rsid w:val="004C23B5"/>
    <w:rsid w:val="004C2614"/>
    <w:rsid w:val="004C43B7"/>
    <w:rsid w:val="004D25F4"/>
    <w:rsid w:val="004D508C"/>
    <w:rsid w:val="004F11A4"/>
    <w:rsid w:val="004F3376"/>
    <w:rsid w:val="004F53FE"/>
    <w:rsid w:val="004F766B"/>
    <w:rsid w:val="00510D0D"/>
    <w:rsid w:val="00511B78"/>
    <w:rsid w:val="005123B2"/>
    <w:rsid w:val="005127BB"/>
    <w:rsid w:val="00513983"/>
    <w:rsid w:val="005158D9"/>
    <w:rsid w:val="00516415"/>
    <w:rsid w:val="00522CC7"/>
    <w:rsid w:val="00523983"/>
    <w:rsid w:val="00531152"/>
    <w:rsid w:val="00535C1E"/>
    <w:rsid w:val="005373CD"/>
    <w:rsid w:val="005470C2"/>
    <w:rsid w:val="0054778B"/>
    <w:rsid w:val="00551C36"/>
    <w:rsid w:val="00556B92"/>
    <w:rsid w:val="00566B82"/>
    <w:rsid w:val="0056737A"/>
    <w:rsid w:val="00573D4B"/>
    <w:rsid w:val="00574282"/>
    <w:rsid w:val="00583DD3"/>
    <w:rsid w:val="0058554F"/>
    <w:rsid w:val="00585C36"/>
    <w:rsid w:val="00592E26"/>
    <w:rsid w:val="005930FE"/>
    <w:rsid w:val="0059393B"/>
    <w:rsid w:val="00597F0B"/>
    <w:rsid w:val="005A04C3"/>
    <w:rsid w:val="005A0EDA"/>
    <w:rsid w:val="005A2684"/>
    <w:rsid w:val="005B1BEE"/>
    <w:rsid w:val="005B2A67"/>
    <w:rsid w:val="005B5415"/>
    <w:rsid w:val="005B667D"/>
    <w:rsid w:val="005C02A1"/>
    <w:rsid w:val="005C117C"/>
    <w:rsid w:val="005D756B"/>
    <w:rsid w:val="005E11FD"/>
    <w:rsid w:val="005E280D"/>
    <w:rsid w:val="005E3B1F"/>
    <w:rsid w:val="005F508D"/>
    <w:rsid w:val="005F714F"/>
    <w:rsid w:val="005F7C12"/>
    <w:rsid w:val="0060276B"/>
    <w:rsid w:val="00603E4D"/>
    <w:rsid w:val="0061000C"/>
    <w:rsid w:val="006109E5"/>
    <w:rsid w:val="00612C2C"/>
    <w:rsid w:val="00613FAA"/>
    <w:rsid w:val="0061630E"/>
    <w:rsid w:val="00617AE1"/>
    <w:rsid w:val="00617C93"/>
    <w:rsid w:val="006271F4"/>
    <w:rsid w:val="00627B99"/>
    <w:rsid w:val="00633C5A"/>
    <w:rsid w:val="00635015"/>
    <w:rsid w:val="006351A4"/>
    <w:rsid w:val="00640529"/>
    <w:rsid w:val="006412C3"/>
    <w:rsid w:val="0064527A"/>
    <w:rsid w:val="00657C89"/>
    <w:rsid w:val="006637D6"/>
    <w:rsid w:val="00665909"/>
    <w:rsid w:val="00673D27"/>
    <w:rsid w:val="00673FB4"/>
    <w:rsid w:val="0067771E"/>
    <w:rsid w:val="00680171"/>
    <w:rsid w:val="00680832"/>
    <w:rsid w:val="0068356B"/>
    <w:rsid w:val="00686EB4"/>
    <w:rsid w:val="00692511"/>
    <w:rsid w:val="00692BBF"/>
    <w:rsid w:val="006A5402"/>
    <w:rsid w:val="006B4032"/>
    <w:rsid w:val="006B7AE4"/>
    <w:rsid w:val="006D0583"/>
    <w:rsid w:val="006D6FEA"/>
    <w:rsid w:val="006E0487"/>
    <w:rsid w:val="006E27AB"/>
    <w:rsid w:val="006F0E91"/>
    <w:rsid w:val="006F2A86"/>
    <w:rsid w:val="006F3981"/>
    <w:rsid w:val="006F5E09"/>
    <w:rsid w:val="00700989"/>
    <w:rsid w:val="00703D80"/>
    <w:rsid w:val="007101AF"/>
    <w:rsid w:val="00715ECC"/>
    <w:rsid w:val="007164CF"/>
    <w:rsid w:val="00720487"/>
    <w:rsid w:val="00722EC0"/>
    <w:rsid w:val="007233F7"/>
    <w:rsid w:val="00730726"/>
    <w:rsid w:val="00740ED2"/>
    <w:rsid w:val="00743148"/>
    <w:rsid w:val="007466A8"/>
    <w:rsid w:val="00753386"/>
    <w:rsid w:val="007545E4"/>
    <w:rsid w:val="00761404"/>
    <w:rsid w:val="0076626D"/>
    <w:rsid w:val="00770A22"/>
    <w:rsid w:val="00771531"/>
    <w:rsid w:val="00772E01"/>
    <w:rsid w:val="007807D6"/>
    <w:rsid w:val="007817E6"/>
    <w:rsid w:val="00782519"/>
    <w:rsid w:val="007832A6"/>
    <w:rsid w:val="0078517A"/>
    <w:rsid w:val="0079052C"/>
    <w:rsid w:val="00793476"/>
    <w:rsid w:val="007A0E5C"/>
    <w:rsid w:val="007A1B95"/>
    <w:rsid w:val="007A420B"/>
    <w:rsid w:val="007A4DCF"/>
    <w:rsid w:val="007A7DEA"/>
    <w:rsid w:val="007B6B72"/>
    <w:rsid w:val="007C1094"/>
    <w:rsid w:val="007C631F"/>
    <w:rsid w:val="007D1073"/>
    <w:rsid w:val="007E3635"/>
    <w:rsid w:val="007E3D35"/>
    <w:rsid w:val="007E4838"/>
    <w:rsid w:val="007E5633"/>
    <w:rsid w:val="007F5631"/>
    <w:rsid w:val="007F6BA3"/>
    <w:rsid w:val="00801723"/>
    <w:rsid w:val="00805554"/>
    <w:rsid w:val="0081149E"/>
    <w:rsid w:val="0081324A"/>
    <w:rsid w:val="008144BC"/>
    <w:rsid w:val="00820908"/>
    <w:rsid w:val="00823DD2"/>
    <w:rsid w:val="00823FB5"/>
    <w:rsid w:val="00824044"/>
    <w:rsid w:val="008320F1"/>
    <w:rsid w:val="00832160"/>
    <w:rsid w:val="008359C6"/>
    <w:rsid w:val="008368EA"/>
    <w:rsid w:val="0084037B"/>
    <w:rsid w:val="0084329B"/>
    <w:rsid w:val="008524CD"/>
    <w:rsid w:val="00860668"/>
    <w:rsid w:val="00860A25"/>
    <w:rsid w:val="00863230"/>
    <w:rsid w:val="008637E7"/>
    <w:rsid w:val="00864CAB"/>
    <w:rsid w:val="00871470"/>
    <w:rsid w:val="00873B62"/>
    <w:rsid w:val="0087575A"/>
    <w:rsid w:val="00876943"/>
    <w:rsid w:val="008822F6"/>
    <w:rsid w:val="00882B41"/>
    <w:rsid w:val="00886B0C"/>
    <w:rsid w:val="00890A33"/>
    <w:rsid w:val="00891A93"/>
    <w:rsid w:val="00892C51"/>
    <w:rsid w:val="008A1699"/>
    <w:rsid w:val="008A24A8"/>
    <w:rsid w:val="008A7403"/>
    <w:rsid w:val="008B1921"/>
    <w:rsid w:val="008B3A70"/>
    <w:rsid w:val="008B5611"/>
    <w:rsid w:val="008C369D"/>
    <w:rsid w:val="008C3F2E"/>
    <w:rsid w:val="008C4755"/>
    <w:rsid w:val="008C576D"/>
    <w:rsid w:val="008D09C1"/>
    <w:rsid w:val="008D2A8A"/>
    <w:rsid w:val="008D3578"/>
    <w:rsid w:val="008D3579"/>
    <w:rsid w:val="008D42F7"/>
    <w:rsid w:val="008D504E"/>
    <w:rsid w:val="008E61AE"/>
    <w:rsid w:val="008F0969"/>
    <w:rsid w:val="008F10EB"/>
    <w:rsid w:val="008F1555"/>
    <w:rsid w:val="008F15EA"/>
    <w:rsid w:val="008F6EB9"/>
    <w:rsid w:val="008F7747"/>
    <w:rsid w:val="00902DE4"/>
    <w:rsid w:val="00903732"/>
    <w:rsid w:val="0090686F"/>
    <w:rsid w:val="00907901"/>
    <w:rsid w:val="0091273B"/>
    <w:rsid w:val="009150ED"/>
    <w:rsid w:val="00924EDF"/>
    <w:rsid w:val="00930BC3"/>
    <w:rsid w:val="00936A14"/>
    <w:rsid w:val="00944F5C"/>
    <w:rsid w:val="00944F86"/>
    <w:rsid w:val="009522DA"/>
    <w:rsid w:val="0095708E"/>
    <w:rsid w:val="009740A9"/>
    <w:rsid w:val="009775E6"/>
    <w:rsid w:val="009800D4"/>
    <w:rsid w:val="009857F8"/>
    <w:rsid w:val="00985E44"/>
    <w:rsid w:val="009A2DE4"/>
    <w:rsid w:val="009A3FC6"/>
    <w:rsid w:val="009B095D"/>
    <w:rsid w:val="009B148B"/>
    <w:rsid w:val="009B15C2"/>
    <w:rsid w:val="009B1C8B"/>
    <w:rsid w:val="009B29A7"/>
    <w:rsid w:val="009B2AAF"/>
    <w:rsid w:val="009B34B1"/>
    <w:rsid w:val="009B3973"/>
    <w:rsid w:val="009C1CBF"/>
    <w:rsid w:val="009D3492"/>
    <w:rsid w:val="009E36A6"/>
    <w:rsid w:val="009F25FF"/>
    <w:rsid w:val="009F6381"/>
    <w:rsid w:val="00A02097"/>
    <w:rsid w:val="00A0644B"/>
    <w:rsid w:val="00A21FC3"/>
    <w:rsid w:val="00A23FF6"/>
    <w:rsid w:val="00A3036F"/>
    <w:rsid w:val="00A30436"/>
    <w:rsid w:val="00A32AE0"/>
    <w:rsid w:val="00A334EE"/>
    <w:rsid w:val="00A3514F"/>
    <w:rsid w:val="00A36127"/>
    <w:rsid w:val="00A361DB"/>
    <w:rsid w:val="00A3787E"/>
    <w:rsid w:val="00A37B9C"/>
    <w:rsid w:val="00A4108D"/>
    <w:rsid w:val="00A43D3F"/>
    <w:rsid w:val="00A44F48"/>
    <w:rsid w:val="00A469A5"/>
    <w:rsid w:val="00A557FC"/>
    <w:rsid w:val="00A60ED6"/>
    <w:rsid w:val="00A6531D"/>
    <w:rsid w:val="00A65BB2"/>
    <w:rsid w:val="00A74DAD"/>
    <w:rsid w:val="00A75ABD"/>
    <w:rsid w:val="00A80B5C"/>
    <w:rsid w:val="00A86937"/>
    <w:rsid w:val="00A918C1"/>
    <w:rsid w:val="00A9209A"/>
    <w:rsid w:val="00A9427F"/>
    <w:rsid w:val="00A97687"/>
    <w:rsid w:val="00A97C54"/>
    <w:rsid w:val="00AA5E7E"/>
    <w:rsid w:val="00AA5EC9"/>
    <w:rsid w:val="00AA6405"/>
    <w:rsid w:val="00AB33F7"/>
    <w:rsid w:val="00AB557C"/>
    <w:rsid w:val="00AB6891"/>
    <w:rsid w:val="00AB6EA9"/>
    <w:rsid w:val="00AC35EF"/>
    <w:rsid w:val="00AC3EF8"/>
    <w:rsid w:val="00AC4091"/>
    <w:rsid w:val="00AC6D7B"/>
    <w:rsid w:val="00AC7F7C"/>
    <w:rsid w:val="00AD21C1"/>
    <w:rsid w:val="00AD7BA5"/>
    <w:rsid w:val="00AF743A"/>
    <w:rsid w:val="00B00EE9"/>
    <w:rsid w:val="00B064C9"/>
    <w:rsid w:val="00B105E5"/>
    <w:rsid w:val="00B135D5"/>
    <w:rsid w:val="00B27491"/>
    <w:rsid w:val="00B311E3"/>
    <w:rsid w:val="00B36988"/>
    <w:rsid w:val="00B40B6A"/>
    <w:rsid w:val="00B5141D"/>
    <w:rsid w:val="00B560A2"/>
    <w:rsid w:val="00B57DAE"/>
    <w:rsid w:val="00B60A47"/>
    <w:rsid w:val="00B67733"/>
    <w:rsid w:val="00B712D1"/>
    <w:rsid w:val="00B71E70"/>
    <w:rsid w:val="00B74424"/>
    <w:rsid w:val="00B77DCB"/>
    <w:rsid w:val="00B822F2"/>
    <w:rsid w:val="00B83FF1"/>
    <w:rsid w:val="00B87297"/>
    <w:rsid w:val="00B87470"/>
    <w:rsid w:val="00B9345F"/>
    <w:rsid w:val="00B9487B"/>
    <w:rsid w:val="00B97052"/>
    <w:rsid w:val="00B9770C"/>
    <w:rsid w:val="00B978C8"/>
    <w:rsid w:val="00BA028A"/>
    <w:rsid w:val="00BA1CF4"/>
    <w:rsid w:val="00BB04ED"/>
    <w:rsid w:val="00BB4F00"/>
    <w:rsid w:val="00BC008B"/>
    <w:rsid w:val="00BC30B9"/>
    <w:rsid w:val="00BC570C"/>
    <w:rsid w:val="00BD2ACB"/>
    <w:rsid w:val="00BD3997"/>
    <w:rsid w:val="00BD4EB2"/>
    <w:rsid w:val="00BD72BD"/>
    <w:rsid w:val="00BE4DF3"/>
    <w:rsid w:val="00BF7ABC"/>
    <w:rsid w:val="00BF7F42"/>
    <w:rsid w:val="00C04527"/>
    <w:rsid w:val="00C0787F"/>
    <w:rsid w:val="00C13169"/>
    <w:rsid w:val="00C17FB7"/>
    <w:rsid w:val="00C2039C"/>
    <w:rsid w:val="00C2593E"/>
    <w:rsid w:val="00C316D4"/>
    <w:rsid w:val="00C334F1"/>
    <w:rsid w:val="00C417DB"/>
    <w:rsid w:val="00C45D7A"/>
    <w:rsid w:val="00C464B8"/>
    <w:rsid w:val="00C510C0"/>
    <w:rsid w:val="00C5279B"/>
    <w:rsid w:val="00C5352F"/>
    <w:rsid w:val="00C53F34"/>
    <w:rsid w:val="00C5650D"/>
    <w:rsid w:val="00C632D3"/>
    <w:rsid w:val="00C66A0A"/>
    <w:rsid w:val="00C703E9"/>
    <w:rsid w:val="00C7063A"/>
    <w:rsid w:val="00C71DA0"/>
    <w:rsid w:val="00C753CF"/>
    <w:rsid w:val="00C76ECE"/>
    <w:rsid w:val="00C8607E"/>
    <w:rsid w:val="00C87A54"/>
    <w:rsid w:val="00C94E4B"/>
    <w:rsid w:val="00C9777F"/>
    <w:rsid w:val="00C97BB0"/>
    <w:rsid w:val="00CA5339"/>
    <w:rsid w:val="00CB0016"/>
    <w:rsid w:val="00CB5E80"/>
    <w:rsid w:val="00CB7CFF"/>
    <w:rsid w:val="00CC4BE6"/>
    <w:rsid w:val="00CC594F"/>
    <w:rsid w:val="00CD0570"/>
    <w:rsid w:val="00CD1ADA"/>
    <w:rsid w:val="00CE7CF5"/>
    <w:rsid w:val="00CF3849"/>
    <w:rsid w:val="00CF3DA1"/>
    <w:rsid w:val="00CF7CC2"/>
    <w:rsid w:val="00D050AD"/>
    <w:rsid w:val="00D079AE"/>
    <w:rsid w:val="00D149BA"/>
    <w:rsid w:val="00D14FCF"/>
    <w:rsid w:val="00D16409"/>
    <w:rsid w:val="00D16E55"/>
    <w:rsid w:val="00D20892"/>
    <w:rsid w:val="00D231D5"/>
    <w:rsid w:val="00D23BE4"/>
    <w:rsid w:val="00D2500A"/>
    <w:rsid w:val="00D31933"/>
    <w:rsid w:val="00D42954"/>
    <w:rsid w:val="00D45BD4"/>
    <w:rsid w:val="00D479D1"/>
    <w:rsid w:val="00D55B52"/>
    <w:rsid w:val="00D606E2"/>
    <w:rsid w:val="00D60949"/>
    <w:rsid w:val="00D6491D"/>
    <w:rsid w:val="00D706C1"/>
    <w:rsid w:val="00D838DD"/>
    <w:rsid w:val="00D84879"/>
    <w:rsid w:val="00D84F91"/>
    <w:rsid w:val="00D85726"/>
    <w:rsid w:val="00D85B84"/>
    <w:rsid w:val="00D94CBF"/>
    <w:rsid w:val="00DA2B28"/>
    <w:rsid w:val="00DA2DEE"/>
    <w:rsid w:val="00DB3822"/>
    <w:rsid w:val="00DC6AB0"/>
    <w:rsid w:val="00DE0898"/>
    <w:rsid w:val="00DE6DB6"/>
    <w:rsid w:val="00DF008E"/>
    <w:rsid w:val="00DF1E05"/>
    <w:rsid w:val="00DF5DB7"/>
    <w:rsid w:val="00E06A84"/>
    <w:rsid w:val="00E12FEF"/>
    <w:rsid w:val="00E13262"/>
    <w:rsid w:val="00E13474"/>
    <w:rsid w:val="00E138BB"/>
    <w:rsid w:val="00E1432C"/>
    <w:rsid w:val="00E35563"/>
    <w:rsid w:val="00E35AC4"/>
    <w:rsid w:val="00E47FF2"/>
    <w:rsid w:val="00E50781"/>
    <w:rsid w:val="00E52536"/>
    <w:rsid w:val="00E56CD4"/>
    <w:rsid w:val="00E6228D"/>
    <w:rsid w:val="00E627AC"/>
    <w:rsid w:val="00E62D34"/>
    <w:rsid w:val="00E639D7"/>
    <w:rsid w:val="00E63B1A"/>
    <w:rsid w:val="00E63BA2"/>
    <w:rsid w:val="00E65686"/>
    <w:rsid w:val="00E711CC"/>
    <w:rsid w:val="00E71889"/>
    <w:rsid w:val="00E72BE1"/>
    <w:rsid w:val="00E75E54"/>
    <w:rsid w:val="00E763AE"/>
    <w:rsid w:val="00E76AD7"/>
    <w:rsid w:val="00E77BA7"/>
    <w:rsid w:val="00E77C4C"/>
    <w:rsid w:val="00E81172"/>
    <w:rsid w:val="00E862E1"/>
    <w:rsid w:val="00E90A58"/>
    <w:rsid w:val="00E90ECA"/>
    <w:rsid w:val="00E96BA3"/>
    <w:rsid w:val="00EA07E7"/>
    <w:rsid w:val="00EA2669"/>
    <w:rsid w:val="00EA290A"/>
    <w:rsid w:val="00EA4D2E"/>
    <w:rsid w:val="00EB579D"/>
    <w:rsid w:val="00EC670F"/>
    <w:rsid w:val="00EC6963"/>
    <w:rsid w:val="00EC787B"/>
    <w:rsid w:val="00ED6815"/>
    <w:rsid w:val="00EE2C90"/>
    <w:rsid w:val="00EF0A87"/>
    <w:rsid w:val="00EF45EC"/>
    <w:rsid w:val="00EF68DE"/>
    <w:rsid w:val="00F0085A"/>
    <w:rsid w:val="00F00DA4"/>
    <w:rsid w:val="00F0107B"/>
    <w:rsid w:val="00F13DC7"/>
    <w:rsid w:val="00F14E4C"/>
    <w:rsid w:val="00F21FBA"/>
    <w:rsid w:val="00F23DCB"/>
    <w:rsid w:val="00F265AA"/>
    <w:rsid w:val="00F27603"/>
    <w:rsid w:val="00F32181"/>
    <w:rsid w:val="00F34EAA"/>
    <w:rsid w:val="00F45F56"/>
    <w:rsid w:val="00F5105A"/>
    <w:rsid w:val="00F60632"/>
    <w:rsid w:val="00F62F8F"/>
    <w:rsid w:val="00F71BFA"/>
    <w:rsid w:val="00F76199"/>
    <w:rsid w:val="00F76883"/>
    <w:rsid w:val="00F77B8B"/>
    <w:rsid w:val="00F815E9"/>
    <w:rsid w:val="00F8445D"/>
    <w:rsid w:val="00F85F53"/>
    <w:rsid w:val="00F94034"/>
    <w:rsid w:val="00F9533B"/>
    <w:rsid w:val="00F967E5"/>
    <w:rsid w:val="00F97772"/>
    <w:rsid w:val="00FA17B8"/>
    <w:rsid w:val="00FA33FF"/>
    <w:rsid w:val="00FA578A"/>
    <w:rsid w:val="00FB129A"/>
    <w:rsid w:val="00FB1601"/>
    <w:rsid w:val="00FB2394"/>
    <w:rsid w:val="00FB604C"/>
    <w:rsid w:val="00FC093D"/>
    <w:rsid w:val="00FC0EEC"/>
    <w:rsid w:val="00FC4067"/>
    <w:rsid w:val="00FC737B"/>
    <w:rsid w:val="00FD1A4B"/>
    <w:rsid w:val="00FD6FBC"/>
    <w:rsid w:val="00FD7BB6"/>
    <w:rsid w:val="00FE2165"/>
    <w:rsid w:val="00FE3655"/>
    <w:rsid w:val="00FE3C09"/>
    <w:rsid w:val="00FE4D63"/>
    <w:rsid w:val="00FF2193"/>
    <w:rsid w:val="017D14D2"/>
    <w:rsid w:val="01B97F5E"/>
    <w:rsid w:val="0224187C"/>
    <w:rsid w:val="02642EB5"/>
    <w:rsid w:val="03577A2F"/>
    <w:rsid w:val="045423DB"/>
    <w:rsid w:val="050E3BFB"/>
    <w:rsid w:val="05B7117A"/>
    <w:rsid w:val="08537121"/>
    <w:rsid w:val="08604528"/>
    <w:rsid w:val="0889068B"/>
    <w:rsid w:val="08CB0332"/>
    <w:rsid w:val="09BC676A"/>
    <w:rsid w:val="0A037FC9"/>
    <w:rsid w:val="0ACA0AE6"/>
    <w:rsid w:val="0B8B178C"/>
    <w:rsid w:val="0BBE0EF3"/>
    <w:rsid w:val="0CF85DDF"/>
    <w:rsid w:val="0D2E1728"/>
    <w:rsid w:val="0F2033CB"/>
    <w:rsid w:val="0F3C3954"/>
    <w:rsid w:val="0FA421AE"/>
    <w:rsid w:val="11516BF6"/>
    <w:rsid w:val="121A34A3"/>
    <w:rsid w:val="14CC3F4C"/>
    <w:rsid w:val="155B33AF"/>
    <w:rsid w:val="162B2D81"/>
    <w:rsid w:val="1738603E"/>
    <w:rsid w:val="19CB3F93"/>
    <w:rsid w:val="1A0F1779"/>
    <w:rsid w:val="1B4A1EFB"/>
    <w:rsid w:val="1BD6553D"/>
    <w:rsid w:val="1BF42F1D"/>
    <w:rsid w:val="1D373D06"/>
    <w:rsid w:val="1D595A4A"/>
    <w:rsid w:val="1F8A6A83"/>
    <w:rsid w:val="1F98426B"/>
    <w:rsid w:val="203174E8"/>
    <w:rsid w:val="21EC160B"/>
    <w:rsid w:val="22973051"/>
    <w:rsid w:val="231006D2"/>
    <w:rsid w:val="24217B6C"/>
    <w:rsid w:val="258B7398"/>
    <w:rsid w:val="26D56176"/>
    <w:rsid w:val="27B8643F"/>
    <w:rsid w:val="28221F49"/>
    <w:rsid w:val="28F34C98"/>
    <w:rsid w:val="2A1D0C28"/>
    <w:rsid w:val="2AD1565F"/>
    <w:rsid w:val="2AE601FE"/>
    <w:rsid w:val="2B2D4A4E"/>
    <w:rsid w:val="2C5B15B9"/>
    <w:rsid w:val="2D452F54"/>
    <w:rsid w:val="2E2D6CD0"/>
    <w:rsid w:val="2E777886"/>
    <w:rsid w:val="2F3502F3"/>
    <w:rsid w:val="2F4520CA"/>
    <w:rsid w:val="2FF63FA8"/>
    <w:rsid w:val="3028029E"/>
    <w:rsid w:val="30A45FE1"/>
    <w:rsid w:val="31893DE2"/>
    <w:rsid w:val="31BB3BEF"/>
    <w:rsid w:val="32D30AF4"/>
    <w:rsid w:val="33174961"/>
    <w:rsid w:val="332A6DF3"/>
    <w:rsid w:val="333B17DF"/>
    <w:rsid w:val="33C40515"/>
    <w:rsid w:val="34117602"/>
    <w:rsid w:val="34460FA6"/>
    <w:rsid w:val="34B47F8E"/>
    <w:rsid w:val="35CD57AB"/>
    <w:rsid w:val="365141FE"/>
    <w:rsid w:val="37E241F6"/>
    <w:rsid w:val="37F72637"/>
    <w:rsid w:val="3B0A0B2B"/>
    <w:rsid w:val="3CCC220F"/>
    <w:rsid w:val="3E720C9E"/>
    <w:rsid w:val="3F1C6199"/>
    <w:rsid w:val="3F215D86"/>
    <w:rsid w:val="3FA27361"/>
    <w:rsid w:val="41E01F44"/>
    <w:rsid w:val="429513FF"/>
    <w:rsid w:val="42E226B9"/>
    <w:rsid w:val="444F55DD"/>
    <w:rsid w:val="4545571A"/>
    <w:rsid w:val="45D3591D"/>
    <w:rsid w:val="48343468"/>
    <w:rsid w:val="48823491"/>
    <w:rsid w:val="49EB5DA8"/>
    <w:rsid w:val="4A056E6A"/>
    <w:rsid w:val="4BD9685C"/>
    <w:rsid w:val="4D4402FD"/>
    <w:rsid w:val="4D7E5B92"/>
    <w:rsid w:val="4E6543E6"/>
    <w:rsid w:val="4E756AFF"/>
    <w:rsid w:val="4EB0569C"/>
    <w:rsid w:val="4F050174"/>
    <w:rsid w:val="4F122234"/>
    <w:rsid w:val="4FB74440"/>
    <w:rsid w:val="4FFC0517"/>
    <w:rsid w:val="51EC14ED"/>
    <w:rsid w:val="528355EB"/>
    <w:rsid w:val="560C332E"/>
    <w:rsid w:val="567C6706"/>
    <w:rsid w:val="582D69FA"/>
    <w:rsid w:val="59B819BC"/>
    <w:rsid w:val="5A160C1F"/>
    <w:rsid w:val="5A1F447E"/>
    <w:rsid w:val="5A494B51"/>
    <w:rsid w:val="5B091731"/>
    <w:rsid w:val="5B9A6FA0"/>
    <w:rsid w:val="5BEE7027"/>
    <w:rsid w:val="5C3D7432"/>
    <w:rsid w:val="5CF05474"/>
    <w:rsid w:val="5D841173"/>
    <w:rsid w:val="5E5075A6"/>
    <w:rsid w:val="603262EF"/>
    <w:rsid w:val="60561D75"/>
    <w:rsid w:val="61053CDC"/>
    <w:rsid w:val="626E2089"/>
    <w:rsid w:val="62994435"/>
    <w:rsid w:val="630B48C2"/>
    <w:rsid w:val="6501408E"/>
    <w:rsid w:val="65242442"/>
    <w:rsid w:val="65744A4C"/>
    <w:rsid w:val="66003D06"/>
    <w:rsid w:val="665515CB"/>
    <w:rsid w:val="67DC1619"/>
    <w:rsid w:val="690E2C10"/>
    <w:rsid w:val="6A730C97"/>
    <w:rsid w:val="6CE71C6F"/>
    <w:rsid w:val="6D8F5C72"/>
    <w:rsid w:val="6DCF4F15"/>
    <w:rsid w:val="6DE92D60"/>
    <w:rsid w:val="6E6037A5"/>
    <w:rsid w:val="6F0247C2"/>
    <w:rsid w:val="71467BE4"/>
    <w:rsid w:val="7258372B"/>
    <w:rsid w:val="732015AE"/>
    <w:rsid w:val="73358655"/>
    <w:rsid w:val="74EB596C"/>
    <w:rsid w:val="75164473"/>
    <w:rsid w:val="75FF6EE3"/>
    <w:rsid w:val="7630080B"/>
    <w:rsid w:val="77F43EF6"/>
    <w:rsid w:val="788811EE"/>
    <w:rsid w:val="78C53AE4"/>
    <w:rsid w:val="78EB7FB9"/>
    <w:rsid w:val="7B2535C5"/>
    <w:rsid w:val="7BD1454E"/>
    <w:rsid w:val="7CA318FC"/>
    <w:rsid w:val="7F242AF2"/>
    <w:rsid w:val="7F5F43D7"/>
    <w:rsid w:val="7F8678CC"/>
    <w:rsid w:val="F77FC0DC"/>
    <w:rsid w:val="FEFFA5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link w:val="2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4"/>
    <w:qFormat/>
    <w:uiPriority w:val="0"/>
    <w:pPr>
      <w:keepNext/>
      <w:keepLines/>
      <w:spacing w:before="260" w:after="260" w:line="416" w:lineRule="auto"/>
      <w:outlineLvl w:val="2"/>
    </w:pPr>
    <w:rPr>
      <w:rFonts w:ascii="Times New Roman" w:hAnsi="Times New Roman"/>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adjustRightInd w:val="0"/>
      <w:spacing w:after="120" w:line="360" w:lineRule="atLeast"/>
      <w:textAlignment w:val="baseline"/>
    </w:pPr>
    <w:rPr>
      <w:kern w:val="0"/>
      <w:sz w:val="20"/>
    </w:rPr>
  </w:style>
  <w:style w:type="paragraph" w:styleId="5">
    <w:name w:val="toc 7"/>
    <w:basedOn w:val="1"/>
    <w:next w:val="1"/>
    <w:unhideWhenUsed/>
    <w:qFormat/>
    <w:uiPriority w:val="39"/>
    <w:pPr>
      <w:spacing w:after="100"/>
      <w:ind w:left="1320"/>
    </w:pPr>
    <w:rPr>
      <w:kern w:val="0"/>
      <w:szCs w:val="22"/>
    </w:rPr>
  </w:style>
  <w:style w:type="paragraph" w:styleId="6">
    <w:name w:val="Normal Indent"/>
    <w:basedOn w:val="1"/>
    <w:qFormat/>
    <w:uiPriority w:val="0"/>
    <w:pPr>
      <w:ind w:firstLine="420" w:firstLineChars="200"/>
    </w:pPr>
    <w:rPr>
      <w:szCs w:val="21"/>
    </w:rPr>
  </w:style>
  <w:style w:type="paragraph" w:styleId="7">
    <w:name w:val="annotation text"/>
    <w:basedOn w:val="1"/>
    <w:link w:val="26"/>
    <w:qFormat/>
    <w:uiPriority w:val="0"/>
    <w:pPr>
      <w:jc w:val="left"/>
    </w:pPr>
  </w:style>
  <w:style w:type="paragraph" w:styleId="8">
    <w:name w:val="Body Text Indent"/>
    <w:basedOn w:val="1"/>
    <w:unhideWhenUsed/>
    <w:qFormat/>
    <w:uiPriority w:val="99"/>
    <w:pPr>
      <w:spacing w:after="120"/>
      <w:ind w:left="420" w:leftChars="200"/>
    </w:pPr>
    <w:rPr>
      <w:kern w:val="0"/>
      <w:sz w:val="20"/>
      <w:szCs w:val="20"/>
    </w:rPr>
  </w:style>
  <w:style w:type="paragraph" w:styleId="9">
    <w:name w:val="Plain Text"/>
    <w:basedOn w:val="1"/>
    <w:link w:val="27"/>
    <w:qFormat/>
    <w:uiPriority w:val="0"/>
    <w:rPr>
      <w:rFonts w:ascii="Courier New" w:hAnsi="Calibri Light"/>
      <w:kern w:val="0"/>
      <w:sz w:val="20"/>
      <w:szCs w:val="21"/>
    </w:rPr>
  </w:style>
  <w:style w:type="paragraph" w:styleId="10">
    <w:name w:val="Body Text Indent 2"/>
    <w:basedOn w:val="1"/>
    <w:link w:val="28"/>
    <w:unhideWhenUsed/>
    <w:qFormat/>
    <w:uiPriority w:val="99"/>
    <w:pPr>
      <w:widowControl/>
      <w:spacing w:after="120" w:line="480" w:lineRule="auto"/>
      <w:ind w:left="420" w:leftChars="200"/>
      <w:jc w:val="left"/>
    </w:pPr>
    <w:rPr>
      <w:rFonts w:ascii="Times New Roman" w:hAnsi="Times New Roman"/>
      <w:kern w:val="0"/>
      <w:sz w:val="24"/>
    </w:rPr>
  </w:style>
  <w:style w:type="paragraph" w:styleId="11">
    <w:name w:val="Balloon Text"/>
    <w:basedOn w:val="1"/>
    <w:link w:val="29"/>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DejaVu Math TeX Gyre" w:hAnsi="DejaVu Math TeX Gyre"/>
      <w:sz w:val="18"/>
      <w:szCs w:val="18"/>
    </w:rPr>
  </w:style>
  <w:style w:type="paragraph" w:styleId="14">
    <w:name w:val="Normal (Web)"/>
    <w:basedOn w:val="1"/>
    <w:link w:val="55"/>
    <w:qFormat/>
    <w:uiPriority w:val="99"/>
    <w:pPr>
      <w:widowControl/>
      <w:spacing w:before="100" w:beforeAutospacing="1" w:after="100" w:afterAutospacing="1"/>
      <w:jc w:val="left"/>
    </w:pPr>
    <w:rPr>
      <w:rFonts w:ascii="Courier New" w:hAnsi="Courier New" w:cs="Courier New"/>
      <w:kern w:val="0"/>
      <w:sz w:val="24"/>
    </w:rPr>
  </w:style>
  <w:style w:type="paragraph" w:styleId="15">
    <w:name w:val="annotation subject"/>
    <w:basedOn w:val="7"/>
    <w:next w:val="7"/>
    <w:link w:val="30"/>
    <w:qFormat/>
    <w:uiPriority w:val="0"/>
    <w:rPr>
      <w:b/>
      <w:bCs/>
    </w:rPr>
  </w:style>
  <w:style w:type="paragraph" w:styleId="16">
    <w:name w:val="Body Text First Indent 2"/>
    <w:basedOn w:val="8"/>
    <w:unhideWhenUsed/>
    <w:qFormat/>
    <w:uiPriority w:val="99"/>
    <w:pPr>
      <w:ind w:firstLine="420" w:firstLineChars="200"/>
    </w:pPr>
    <w:rPr>
      <w:rFonts w:ascii="Times New Roman" w:hAnsi="Times New Roman"/>
    </w:rPr>
  </w:style>
  <w:style w:type="table" w:styleId="18">
    <w:name w:val="Table Grid"/>
    <w:basedOn w:val="1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qFormat/>
    <w:uiPriority w:val="0"/>
    <w:rPr>
      <w:rFonts w:ascii="DejaVu Math TeX Gyre" w:hAnsi="DejaVu Math TeX Gyre" w:eastAsia="Courier New" w:cs="黑体"/>
      <w:b/>
      <w:bCs/>
    </w:rPr>
  </w:style>
  <w:style w:type="character" w:styleId="21">
    <w:name w:val="page number"/>
    <w:qFormat/>
    <w:uiPriority w:val="0"/>
  </w:style>
  <w:style w:type="character" w:styleId="22">
    <w:name w:val="Hyperlink"/>
    <w:qFormat/>
    <w:uiPriority w:val="0"/>
    <w:rPr>
      <w:color w:val="296FBE"/>
      <w:u w:val="none"/>
    </w:rPr>
  </w:style>
  <w:style w:type="character" w:styleId="23">
    <w:name w:val="annotation reference"/>
    <w:qFormat/>
    <w:uiPriority w:val="0"/>
    <w:rPr>
      <w:sz w:val="21"/>
      <w:szCs w:val="21"/>
    </w:rPr>
  </w:style>
  <w:style w:type="character" w:customStyle="1" w:styleId="24">
    <w:name w:val="标题 3 Char1"/>
    <w:link w:val="4"/>
    <w:qFormat/>
    <w:uiPriority w:val="0"/>
    <w:rPr>
      <w:b/>
      <w:bCs/>
      <w:kern w:val="2"/>
      <w:sz w:val="32"/>
      <w:szCs w:val="32"/>
    </w:rPr>
  </w:style>
  <w:style w:type="character" w:customStyle="1" w:styleId="25">
    <w:name w:val="标题 2 Char1"/>
    <w:link w:val="3"/>
    <w:qFormat/>
    <w:uiPriority w:val="0"/>
    <w:rPr>
      <w:rFonts w:ascii="Arial" w:hAnsi="Arial" w:eastAsia="黑体"/>
      <w:b/>
      <w:bCs/>
      <w:kern w:val="2"/>
      <w:sz w:val="32"/>
      <w:szCs w:val="32"/>
    </w:rPr>
  </w:style>
  <w:style w:type="character" w:customStyle="1" w:styleId="26">
    <w:name w:val="批注文字 Char"/>
    <w:link w:val="7"/>
    <w:qFormat/>
    <w:uiPriority w:val="99"/>
    <w:rPr>
      <w:rFonts w:ascii="Calibri" w:hAnsi="Calibri"/>
      <w:kern w:val="2"/>
      <w:sz w:val="21"/>
      <w:szCs w:val="24"/>
    </w:rPr>
  </w:style>
  <w:style w:type="character" w:customStyle="1" w:styleId="27">
    <w:name w:val="纯文本 Char1"/>
    <w:link w:val="9"/>
    <w:qFormat/>
    <w:locked/>
    <w:uiPriority w:val="0"/>
    <w:rPr>
      <w:rFonts w:ascii="Courier New" w:hAnsi="Calibri Light"/>
      <w:szCs w:val="21"/>
    </w:rPr>
  </w:style>
  <w:style w:type="character" w:customStyle="1" w:styleId="28">
    <w:name w:val="正文文本缩进 2 Char"/>
    <w:link w:val="10"/>
    <w:qFormat/>
    <w:uiPriority w:val="99"/>
    <w:rPr>
      <w:sz w:val="24"/>
      <w:szCs w:val="24"/>
    </w:rPr>
  </w:style>
  <w:style w:type="character" w:customStyle="1" w:styleId="29">
    <w:name w:val="批注框文本 Char"/>
    <w:link w:val="11"/>
    <w:qFormat/>
    <w:uiPriority w:val="0"/>
    <w:rPr>
      <w:rFonts w:ascii="Calibri" w:hAnsi="Calibri"/>
      <w:kern w:val="2"/>
      <w:sz w:val="18"/>
      <w:szCs w:val="18"/>
    </w:rPr>
  </w:style>
  <w:style w:type="character" w:customStyle="1" w:styleId="30">
    <w:name w:val="批注主题 Char"/>
    <w:link w:val="15"/>
    <w:qFormat/>
    <w:uiPriority w:val="0"/>
    <w:rPr>
      <w:rFonts w:ascii="Calibri" w:hAnsi="Calibri"/>
      <w:b/>
      <w:bCs/>
      <w:kern w:val="2"/>
      <w:sz w:val="21"/>
      <w:szCs w:val="24"/>
    </w:rPr>
  </w:style>
  <w:style w:type="paragraph" w:customStyle="1" w:styleId="31">
    <w:name w:val="正文文本1"/>
    <w:basedOn w:val="1"/>
    <w:next w:val="1"/>
    <w:qFormat/>
    <w:uiPriority w:val="0"/>
    <w:rPr>
      <w:rFonts w:ascii="楷体_GB2312" w:hAnsi="Arial" w:eastAsia="楷体_GB2312"/>
      <w:sz w:val="28"/>
      <w:szCs w:val="28"/>
    </w:rPr>
  </w:style>
  <w:style w:type="paragraph" w:customStyle="1" w:styleId="32">
    <w:name w:val="列表段落2"/>
    <w:basedOn w:val="1"/>
    <w:qFormat/>
    <w:uiPriority w:val="99"/>
    <w:pPr>
      <w:ind w:firstLine="420" w:firstLineChars="200"/>
    </w:pPr>
    <w:rPr>
      <w:rFonts w:cs="Calibri"/>
      <w:szCs w:val="21"/>
    </w:rPr>
  </w:style>
  <w:style w:type="paragraph" w:styleId="33">
    <w:name w:val="List Paragraph"/>
    <w:basedOn w:val="1"/>
    <w:link w:val="34"/>
    <w:qFormat/>
    <w:uiPriority w:val="99"/>
    <w:pPr>
      <w:ind w:firstLine="420" w:firstLineChars="200"/>
    </w:pPr>
    <w:rPr>
      <w:rFonts w:ascii="DejaVu Math TeX Gyre" w:hAnsi="DejaVu Math TeX Gyre"/>
    </w:rPr>
  </w:style>
  <w:style w:type="character" w:customStyle="1" w:styleId="34">
    <w:name w:val="列出段落 Char"/>
    <w:link w:val="33"/>
    <w:qFormat/>
    <w:uiPriority w:val="99"/>
    <w:rPr>
      <w:rFonts w:ascii="DejaVu Math TeX Gyre" w:hAnsi="DejaVu Math TeX Gyre"/>
      <w:kern w:val="2"/>
      <w:sz w:val="21"/>
      <w:szCs w:val="24"/>
    </w:rPr>
  </w:style>
  <w:style w:type="character" w:customStyle="1" w:styleId="35">
    <w:name w:val="普通(网站) Char"/>
    <w:qFormat/>
    <w:uiPriority w:val="99"/>
    <w:rPr>
      <w:rFonts w:ascii="Courier New" w:hAnsi="Courier New" w:eastAsia="Courier New" w:cs="Courier New"/>
      <w:kern w:val="0"/>
      <w:sz w:val="24"/>
      <w:szCs w:val="24"/>
    </w:rPr>
  </w:style>
  <w:style w:type="paragraph" w:customStyle="1" w:styleId="36">
    <w:name w:val="列表段落4"/>
    <w:basedOn w:val="1"/>
    <w:qFormat/>
    <w:uiPriority w:val="99"/>
    <w:pPr>
      <w:ind w:firstLine="420" w:firstLineChars="200"/>
    </w:pPr>
    <w:rPr>
      <w:rFonts w:cs="Calibri"/>
      <w:szCs w:val="21"/>
    </w:rPr>
  </w:style>
  <w:style w:type="paragraph" w:customStyle="1" w:styleId="37">
    <w:name w:val="列表段落6"/>
    <w:basedOn w:val="1"/>
    <w:qFormat/>
    <w:uiPriority w:val="99"/>
    <w:pPr>
      <w:ind w:firstLine="420" w:firstLineChars="200"/>
    </w:pPr>
    <w:rPr>
      <w:rFonts w:cs="Calibri"/>
      <w:szCs w:val="21"/>
    </w:rPr>
  </w:style>
  <w:style w:type="paragraph" w:customStyle="1" w:styleId="38">
    <w:name w:val="Table Paragraph"/>
    <w:basedOn w:val="1"/>
    <w:qFormat/>
    <w:uiPriority w:val="1"/>
    <w:pPr>
      <w:autoSpaceDE w:val="0"/>
      <w:autoSpaceDN w:val="0"/>
    </w:pPr>
    <w:rPr>
      <w:rFonts w:ascii="宋体" w:hAnsi="宋体" w:cs="宋体"/>
      <w:lang w:val="zh-CN" w:bidi="zh-CN"/>
    </w:rPr>
  </w:style>
  <w:style w:type="paragraph" w:customStyle="1" w:styleId="39">
    <w:name w:val="Normal_2"/>
    <w:qFormat/>
    <w:uiPriority w:val="0"/>
    <w:pPr>
      <w:widowControl w:val="0"/>
      <w:spacing w:line="276" w:lineRule="auto"/>
      <w:ind w:left="53" w:leftChars="25" w:firstLine="1"/>
      <w:contextualSpacing/>
      <w:jc w:val="both"/>
    </w:pPr>
    <w:rPr>
      <w:rFonts w:ascii="Times New Roman" w:hAnsi="Times New Roman" w:eastAsia="宋体" w:cs="Times New Roman"/>
      <w:sz w:val="21"/>
      <w:szCs w:val="24"/>
      <w:lang w:val="en-US" w:eastAsia="zh-CN" w:bidi="ar-SA"/>
    </w:rPr>
  </w:style>
  <w:style w:type="character" w:customStyle="1" w:styleId="40">
    <w:name w:val="15"/>
    <w:qFormat/>
    <w:uiPriority w:val="0"/>
    <w:rPr>
      <w:rFonts w:hint="default" w:ascii="Calibri" w:hAnsi="Calibri" w:cs="Calibri"/>
    </w:rPr>
  </w:style>
  <w:style w:type="paragraph" w:customStyle="1" w:styleId="41">
    <w:name w:val="正文缩进2格"/>
    <w:basedOn w:val="1"/>
    <w:qFormat/>
    <w:uiPriority w:val="0"/>
    <w:pPr>
      <w:spacing w:after="120" w:line="600" w:lineRule="exact"/>
      <w:ind w:firstLine="639" w:firstLineChars="206"/>
    </w:pPr>
    <w:rPr>
      <w:rFonts w:ascii="仿宋_GB2312" w:hAnsi="宋体" w:eastAsia="仿宋_GB2312"/>
      <w:sz w:val="31"/>
      <w:szCs w:val="31"/>
    </w:rPr>
  </w:style>
  <w:style w:type="paragraph" w:customStyle="1" w:styleId="42">
    <w:name w:val="正文1"/>
    <w:basedOn w:val="1"/>
    <w:qFormat/>
    <w:uiPriority w:val="0"/>
    <w:pPr>
      <w:widowControl/>
    </w:pPr>
    <w:rPr>
      <w:rFonts w:ascii="Times New Roman" w:hAnsi="Times New Roman"/>
      <w:szCs w:val="21"/>
    </w:rPr>
  </w:style>
  <w:style w:type="paragraph" w:customStyle="1" w:styleId="43">
    <w:name w:val="0表格正文"/>
    <w:basedOn w:val="1"/>
    <w:qFormat/>
    <w:uiPriority w:val="0"/>
    <w:pPr>
      <w:spacing w:line="288" w:lineRule="auto"/>
      <w:ind w:firstLine="200" w:firstLineChars="200"/>
      <w:jc w:val="left"/>
    </w:pPr>
    <w:rPr>
      <w:szCs w:val="21"/>
    </w:rPr>
  </w:style>
  <w:style w:type="paragraph" w:customStyle="1" w:styleId="44">
    <w:name w:val="列出段落1"/>
    <w:basedOn w:val="1"/>
    <w:qFormat/>
    <w:uiPriority w:val="0"/>
    <w:pPr>
      <w:ind w:firstLine="420" w:firstLineChars="200"/>
    </w:pPr>
    <w:rPr>
      <w:rFonts w:ascii="Times New Roman" w:hAnsi="Times New Roman"/>
      <w:szCs w:val="21"/>
    </w:rPr>
  </w:style>
  <w:style w:type="character" w:customStyle="1" w:styleId="45">
    <w:name w:val="font11"/>
    <w:qFormat/>
    <w:uiPriority w:val="0"/>
    <w:rPr>
      <w:rFonts w:hint="eastAsia" w:ascii="宋体" w:hAnsi="宋体" w:eastAsia="宋体" w:cs="宋体"/>
      <w:color w:val="000000"/>
      <w:sz w:val="22"/>
      <w:szCs w:val="22"/>
      <w:u w:val="none"/>
    </w:rPr>
  </w:style>
  <w:style w:type="character" w:customStyle="1" w:styleId="46">
    <w:name w:val="标题 2 Char"/>
    <w:semiHidden/>
    <w:qFormat/>
    <w:uiPriority w:val="0"/>
    <w:rPr>
      <w:rFonts w:ascii="Cambria" w:hAnsi="Cambria" w:eastAsia="宋体" w:cs="Times New Roman"/>
      <w:b/>
      <w:bCs/>
      <w:kern w:val="2"/>
      <w:sz w:val="32"/>
      <w:szCs w:val="32"/>
    </w:rPr>
  </w:style>
  <w:style w:type="character" w:customStyle="1" w:styleId="47">
    <w:name w:val="标题 3 Char"/>
    <w:semiHidden/>
    <w:qFormat/>
    <w:uiPriority w:val="0"/>
    <w:rPr>
      <w:rFonts w:ascii="Calibri" w:hAnsi="Calibri"/>
      <w:b/>
      <w:bCs/>
      <w:kern w:val="2"/>
      <w:sz w:val="32"/>
      <w:szCs w:val="32"/>
    </w:rPr>
  </w:style>
  <w:style w:type="paragraph" w:customStyle="1" w:styleId="48">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49">
    <w:name w:val="图"/>
    <w:basedOn w:val="1"/>
    <w:qFormat/>
    <w:uiPriority w:val="99"/>
    <w:pPr>
      <w:keepNext/>
      <w:widowControl/>
      <w:adjustRightInd w:val="0"/>
      <w:spacing w:before="60" w:after="60" w:line="300" w:lineRule="auto"/>
      <w:jc w:val="center"/>
      <w:textAlignment w:val="center"/>
    </w:pPr>
    <w:rPr>
      <w:rFonts w:ascii="Times New Roman" w:hAnsi="Times New Roman"/>
      <w:spacing w:val="20"/>
      <w:kern w:val="0"/>
      <w:sz w:val="24"/>
    </w:rPr>
  </w:style>
  <w:style w:type="character" w:customStyle="1" w:styleId="50">
    <w:name w:val="列出段落 Char2"/>
    <w:qFormat/>
    <w:uiPriority w:val="34"/>
    <w:rPr>
      <w:rFonts w:ascii="宋体" w:hAnsi="宋体" w:eastAsia="宋体" w:cs="宋体"/>
      <w:b/>
      <w:bCs/>
      <w:sz w:val="24"/>
      <w:szCs w:val="24"/>
      <w:shd w:val="clear" w:color="auto" w:fill="FFFFFF"/>
    </w:rPr>
  </w:style>
  <w:style w:type="character" w:customStyle="1" w:styleId="51">
    <w:name w:val="纯文本 Char"/>
    <w:qFormat/>
    <w:uiPriority w:val="0"/>
    <w:rPr>
      <w:rFonts w:ascii="宋体" w:hAnsi="Courier New" w:cs="宋体"/>
      <w:sz w:val="21"/>
      <w:szCs w:val="21"/>
    </w:rPr>
  </w:style>
  <w:style w:type="character" w:customStyle="1" w:styleId="52">
    <w:name w:val="列表段落 字符"/>
    <w:link w:val="53"/>
    <w:qFormat/>
    <w:uiPriority w:val="34"/>
    <w:rPr>
      <w:sz w:val="21"/>
      <w:szCs w:val="22"/>
    </w:rPr>
  </w:style>
  <w:style w:type="paragraph" w:customStyle="1" w:styleId="53">
    <w:name w:val="列表段落1"/>
    <w:basedOn w:val="1"/>
    <w:link w:val="52"/>
    <w:qFormat/>
    <w:uiPriority w:val="34"/>
    <w:pPr>
      <w:ind w:firstLine="420"/>
    </w:pPr>
    <w:rPr>
      <w:rFonts w:ascii="Times New Roman" w:hAnsi="Times New Roman"/>
      <w:kern w:val="0"/>
      <w:szCs w:val="22"/>
    </w:rPr>
  </w:style>
  <w:style w:type="paragraph" w:customStyle="1" w:styleId="54">
    <w:name w:val="正文正"/>
    <w:basedOn w:val="1"/>
    <w:qFormat/>
    <w:uiPriority w:val="0"/>
    <w:pPr>
      <w:autoSpaceDE w:val="0"/>
      <w:autoSpaceDN w:val="0"/>
      <w:adjustRightInd w:val="0"/>
      <w:spacing w:line="560" w:lineRule="exact"/>
      <w:ind w:firstLine="561"/>
      <w:jc w:val="left"/>
    </w:pPr>
    <w:rPr>
      <w:kern w:val="0"/>
      <w:sz w:val="28"/>
      <w:szCs w:val="28"/>
    </w:rPr>
  </w:style>
  <w:style w:type="character" w:customStyle="1" w:styleId="55">
    <w:name w:val="普通(网站) Char1"/>
    <w:basedOn w:val="19"/>
    <w:link w:val="14"/>
    <w:qFormat/>
    <w:uiPriority w:val="99"/>
    <w:rPr>
      <w:rFonts w:ascii="Courier New" w:hAnsi="Courier New" w:cs="Courier New"/>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26</Pages>
  <Words>2348</Words>
  <Characters>13384</Characters>
  <Lines>111</Lines>
  <Paragraphs>31</Paragraphs>
  <TotalTime>187</TotalTime>
  <ScaleCrop>false</ScaleCrop>
  <LinksUpToDate>false</LinksUpToDate>
  <CharactersWithSpaces>15701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2026-08-06T00:22:00Z</dcterms:created>
  <dc:creator>蔡梅珍</dc:creator>
  <cp:lastModifiedBy>李青涛</cp:lastModifiedBy>
  <dcterms:modified xsi:type="dcterms:W3CDTF">2026-09-11T08:35:58Z</dcterms:modified>
  <cp:revision>349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92D7BFF42C1E4A22BB201B626E4082F2_13</vt:lpwstr>
  </property>
  <property fmtid="{D5CDD505-2E9C-101B-9397-08002B2CF9AE}" pid="4" name="KSOTemplateDocerSaveRecord">
    <vt:lpwstr>eyJoZGlkIjoiMjY1OWYxMmM1ODI3Njc4YjU4MzE1NDYyZGU5OWQ1MDYiLCJ1c2VySWQiOiI1MTA3MDg1NjMifQ==</vt:lpwstr>
  </property>
</Properties>
</file>