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东莞市支持生物医药与未来生命健康产业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发展的</w:t>
      </w: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eastAsia="zh-CN"/>
        </w:rPr>
        <w:t>若干措施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3476" w:firstLineChars="11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（征求意见稿）</w:t>
      </w:r>
    </w:p>
    <w:p>
      <w:pPr>
        <w:keepNext w:val="0"/>
        <w:keepLines w:val="0"/>
        <w:pageBreakBefore w:val="0"/>
        <w:widowControl w:val="0"/>
        <w:kinsoku/>
        <w:wordWrap/>
        <w:bidi w:val="0"/>
        <w:adjustRightInd/>
        <w:snapToGrid/>
        <w:spacing w:line="579" w:lineRule="exact"/>
        <w:textAlignment w:val="auto"/>
        <w:rPr>
          <w:rFonts w:hint="eastAsia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为发展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壮大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生物医药及高端医疗器械产业集群，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加快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培育未来生命健康产业，结合我市实际，制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措施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一、布局重点产业赛道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（一）支持重点领域发展。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  <w:lang w:eastAsia="zh-CN"/>
        </w:rPr>
        <w:t>支持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创新药</w:t>
      </w:r>
      <w:r>
        <w:rPr>
          <w:rFonts w:hint="eastAsia" w:cs="Times New Roman"/>
          <w:color w:val="auto"/>
          <w:sz w:val="32"/>
          <w:szCs w:val="32"/>
          <w:highlight w:val="none"/>
          <w:shd w:val="clear" w:fill="auto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中药制剂，体外诊断、医学影像、</w:t>
      </w:r>
      <w:r>
        <w:rPr>
          <w:rFonts w:hint="eastAsia" w:cs="Times New Roman"/>
          <w:color w:val="auto"/>
          <w:sz w:val="32"/>
          <w:szCs w:val="32"/>
          <w:highlight w:val="none"/>
          <w:shd w:val="clear" w:fill="auto"/>
          <w:lang w:eastAsia="zh-CN"/>
        </w:rPr>
        <w:t>生物医药材料和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植介入器材、治疗和康复设备等领域高端医疗器械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食品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中药煎配服务</w:t>
      </w: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专业技术服务。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（</w:t>
      </w:r>
      <w:r>
        <w:rPr>
          <w:rFonts w:hint="eastAsia" w:cs="Times New Roman"/>
          <w:color w:val="auto"/>
          <w:sz w:val="32"/>
          <w:szCs w:val="32"/>
          <w:highlight w:val="none"/>
          <w:shd w:val="clear" w:fill="auto"/>
          <w:lang w:eastAsia="zh-CN"/>
        </w:rPr>
        <w:t>市卫生健康局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市科技局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各镇街</w:t>
      </w: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（二）布局新领域新赛道。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加强前沿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颠覆性技术探索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供给，重点发展AI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生物医药、合成生物、核医疗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细胞与基因治疗等领域，打造核医学研发制造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应用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基地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推动产业智能化、融合化发展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（</w:t>
      </w:r>
      <w:r>
        <w:rPr>
          <w:rFonts w:hint="eastAsia" w:cs="Times New Roman"/>
          <w:color w:val="auto"/>
          <w:sz w:val="32"/>
          <w:szCs w:val="32"/>
          <w:highlight w:val="none"/>
          <w:shd w:val="clear" w:fill="auto"/>
          <w:lang w:eastAsia="zh-CN"/>
        </w:rPr>
        <w:t>市卫生健康局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市科技局、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松山湖高新区管委会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、滨海湾新区管委会、石龙镇、道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黑体" w:cs="Times New Roman"/>
          <w:color w:val="auto"/>
          <w:sz w:val="32"/>
          <w:szCs w:val="32"/>
          <w:highlight w:val="none"/>
          <w:lang w:eastAsia="zh-CN"/>
        </w:rPr>
        <w:t>二、培育行业领军企业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</w:t>
      </w:r>
      <w:r>
        <w:rPr>
          <w:rFonts w:hint="eastAsia" w:eastAsia="楷体_GB2312" w:cs="Times New Roman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）支持</w:t>
      </w:r>
      <w:r>
        <w:rPr>
          <w:rFonts w:hint="eastAsia" w:eastAsia="楷体_GB2312"/>
          <w:color w:val="auto"/>
          <w:szCs w:val="32"/>
          <w:highlight w:val="none"/>
          <w:lang w:eastAsia="zh-CN"/>
        </w:rPr>
        <w:t>企业</w:t>
      </w:r>
      <w:r>
        <w:rPr>
          <w:rFonts w:hint="eastAsia" w:eastAsia="楷体_GB2312" w:cs="Times New Roman"/>
          <w:color w:val="auto"/>
          <w:sz w:val="32"/>
          <w:szCs w:val="32"/>
          <w:highlight w:val="none"/>
          <w:lang w:eastAsia="zh-CN"/>
        </w:rPr>
        <w:t>牵头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组建创新联合体。</w:t>
      </w:r>
      <w:r>
        <w:rPr>
          <w:rStyle w:val="13"/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支</w:t>
      </w:r>
      <w:r>
        <w:rPr>
          <w:rStyle w:val="13"/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持</w:t>
      </w:r>
      <w:r>
        <w:rPr>
          <w:rStyle w:val="13"/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企业</w:t>
      </w:r>
      <w:r>
        <w:rPr>
          <w:rStyle w:val="13"/>
          <w:rFonts w:hint="default" w:ascii="Times New Roman" w:hAnsi="Times New Roman" w:cs="Times New Roman"/>
          <w:color w:val="auto"/>
          <w:sz w:val="32"/>
          <w:szCs w:val="32"/>
          <w:highlight w:val="none"/>
        </w:rPr>
        <w:t>链接</w:t>
      </w:r>
      <w:r>
        <w:rPr>
          <w:rStyle w:val="13"/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上下游企业和高校院所、科研机构等科研支持单位</w:t>
      </w:r>
      <w:r>
        <w:rPr>
          <w:rStyle w:val="13"/>
          <w:rFonts w:hint="default" w:ascii="Times New Roman" w:hAnsi="Times New Roman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建立产业和技术创新联盟；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重点聚焦AI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生物医药、合成生物、核医疗等前沿领域，按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照“成熟一个组建一个”的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原则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组建由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生物医药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业牵头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高校院所支撑、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高水平医院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参与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体系化、任务型创新联合体，</w:t>
      </w:r>
      <w:r>
        <w:rPr>
          <w:rFonts w:hint="default"/>
          <w:color w:val="auto"/>
          <w:szCs w:val="32"/>
          <w:highlight w:val="none"/>
        </w:rPr>
        <w:t>整合上下游资源，开展产业链协同攻关，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单个项目群最高支持3000万元。（市科技局、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市卫生健康局、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cs="Times New Roman"/>
          <w:color w:val="auto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Cs w:val="32"/>
          <w:highlight w:val="none"/>
        </w:rPr>
        <w:t>（</w:t>
      </w:r>
      <w:r>
        <w:rPr>
          <w:rFonts w:hint="default" w:ascii="Times New Roman" w:hAnsi="Times New Roman" w:eastAsia="楷体_GB2312" w:cs="Times New Roman"/>
          <w:color w:val="auto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楷体_GB2312" w:cs="Times New Roman"/>
          <w:color w:val="auto"/>
          <w:szCs w:val="32"/>
          <w:highlight w:val="none"/>
        </w:rPr>
        <w:t>）支持生物医药企</w:t>
      </w:r>
      <w:r>
        <w:rPr>
          <w:rFonts w:hint="eastAsia" w:ascii="Times New Roman" w:hAnsi="Times New Roman" w:eastAsia="楷体_GB2312" w:cs="Times New Roman"/>
          <w:color w:val="auto"/>
          <w:szCs w:val="32"/>
          <w:highlight w:val="none"/>
        </w:rPr>
        <w:t>业“智改数转”。</w:t>
      </w: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  <w:t>对市级技术改造项目，单个项目最高资助1</w:t>
      </w:r>
      <w:r>
        <w:rPr>
          <w:rFonts w:hint="eastAsia" w:cs="Times New Roman"/>
          <w:color w:val="auto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  <w:t>00万元。对认定为市级智能工厂的企业，给予一次性最高500万元奖励；对市级智能车间项目，单个项目最高资助200万元。对重点产业中小企业数字化改造项目</w:t>
      </w:r>
      <w:r>
        <w:rPr>
          <w:rFonts w:hint="eastAsia" w:cs="Times New Roman"/>
          <w:color w:val="auto"/>
          <w:szCs w:val="32"/>
          <w:highlight w:val="none"/>
          <w:lang w:eastAsia="zh-CN"/>
        </w:rPr>
        <w:t>给予支持</w:t>
      </w:r>
      <w:r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  <w:t>。</w:t>
      </w:r>
      <w:r>
        <w:rPr>
          <w:rFonts w:hint="default" w:ascii="Times New Roman" w:hAnsi="Times New Roman" w:cs="Times New Roman"/>
          <w:color w:val="000000"/>
          <w:szCs w:val="32"/>
          <w:highlight w:val="none"/>
          <w:shd w:val="clear" w:color="auto" w:fill="auto"/>
          <w:lang w:eastAsia="zh-CN"/>
        </w:rPr>
        <w:t>（市工业和信息化局</w:t>
      </w:r>
      <w:r>
        <w:rPr>
          <w:rFonts w:hint="eastAsia" w:cs="Times New Roman"/>
          <w:color w:val="auto"/>
          <w:szCs w:val="32"/>
          <w:highlight w:val="none"/>
          <w:shd w:val="clear" w:color="auto" w:fill="FFFFFF"/>
          <w:lang w:eastAsia="zh-CN"/>
        </w:rPr>
        <w:t>、市财政局</w:t>
      </w:r>
      <w:r>
        <w:rPr>
          <w:rFonts w:hint="default" w:ascii="Times New Roman" w:hAnsi="Times New Roman" w:cs="Times New Roman"/>
          <w:color w:val="auto"/>
          <w:szCs w:val="32"/>
          <w:highlight w:val="none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黑体" w:cs="Times New Roman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、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eastAsia="zh-CN"/>
        </w:rPr>
        <w:t>强化关键技术攻关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Cs w:val="32"/>
          <w:highlight w:val="none"/>
        </w:rPr>
        <w:t>（</w:t>
      </w:r>
      <w:r>
        <w:rPr>
          <w:rFonts w:hint="eastAsia" w:ascii="Times New Roman" w:hAnsi="Times New Roman" w:eastAsia="楷体_GB2312" w:cs="Times New Roman"/>
          <w:color w:val="auto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楷体_GB2312" w:cs="Times New Roman"/>
          <w:color w:val="auto"/>
          <w:szCs w:val="32"/>
          <w:highlight w:val="none"/>
        </w:rPr>
        <w:t>）发挥重大科技基础设施源头技术支撑作用。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支持我市高校院所、科研机构、企业利用散裂中子源、先进阿秒激光设施等开展生物医药与健康领域研发，围绕新靶点、新机制、新材料、新原理，加强基础研究和核心技术攻关，提升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对生物医药产业的支撑作用。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  <w:highlight w:val="none"/>
        </w:rPr>
        <w:t>（市科技局、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  <w:highlight w:val="none"/>
          <w:shd w:val="clear" w:fill="auto"/>
        </w:rPr>
        <w:t>松山湖高新区管委会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  <w:highlight w:val="none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</w:t>
      </w:r>
      <w:r>
        <w:rPr>
          <w:rFonts w:hint="eastAsia" w:eastAsia="楷体_GB2312" w:cs="Times New Roman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）支持生物医药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领域</w:t>
      </w:r>
      <w:r>
        <w:rPr>
          <w:rFonts w:hint="eastAsia" w:eastAsia="楷体_GB2312" w:cs="Times New Roman"/>
          <w:color w:val="auto"/>
          <w:sz w:val="32"/>
          <w:szCs w:val="32"/>
          <w:highlight w:val="none"/>
          <w:lang w:eastAsia="zh-CN"/>
        </w:rPr>
        <w:t>前沿技术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研究。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每年在广东省基础与应用基础研究基金东莞市联合基金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东莞市基础研究基金中面向生物医药与健康领域布局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个项目，引导企业、高校院所、医疗卫生机构开展基础与应用基础研究，突破地方和产业创新发展的关键科学问题，打通基础研究成果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转化“最后一公里”。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（市科技局、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市卫生健康局、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松山湖高新区管委会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、市财政局）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</w:t>
      </w:r>
      <w:r>
        <w:rPr>
          <w:rFonts w:hint="eastAsia" w:eastAsia="楷体_GB2312" w:cs="Times New Roman"/>
          <w:color w:val="auto"/>
          <w:sz w:val="32"/>
          <w:szCs w:val="32"/>
          <w:highlight w:val="none"/>
          <w:lang w:eastAsia="zh-CN"/>
        </w:rPr>
        <w:t>七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）支持开展</w:t>
      </w:r>
      <w:r>
        <w:rPr>
          <w:rFonts w:hint="eastAsia" w:eastAsia="楷体_GB2312" w:cs="Times New Roman"/>
          <w:color w:val="auto"/>
          <w:sz w:val="32"/>
          <w:szCs w:val="32"/>
          <w:highlight w:val="none"/>
          <w:lang w:eastAsia="zh-CN"/>
        </w:rPr>
        <w:t>核心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技术攻关。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支持生物医药科技企业联合高等院校、科研机构等各类创新主体围绕医药共性研发技术、医疗器械研发关键技术、合成生物核心技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术等“卡脖子”技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术开展关键技术攻关，单个项目最高支持1000万元。支持我市企业通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过“揭榜挂帅”方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式征集揭榜方开展重点攻关解决生物医药与健康领域技术难题，单个项目最高支持</w:t>
      </w: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00万元。（市科技局、市财政局）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eastAsia="楷体_GB2312"/>
          <w:color w:val="auto"/>
          <w:szCs w:val="32"/>
          <w:highlight w:val="none"/>
          <w:shd w:val="clear" w:color="auto" w:fill="FFFFFF"/>
        </w:rPr>
        <w:t>（</w:t>
      </w:r>
      <w:r>
        <w:rPr>
          <w:rFonts w:hint="eastAsia" w:eastAsia="楷体_GB2312"/>
          <w:color w:val="auto"/>
          <w:szCs w:val="32"/>
          <w:highlight w:val="none"/>
          <w:shd w:val="clear" w:color="auto" w:fill="FFFFFF"/>
          <w:lang w:eastAsia="zh-CN"/>
        </w:rPr>
        <w:t>八</w:t>
      </w:r>
      <w:r>
        <w:rPr>
          <w:rFonts w:hint="default" w:eastAsia="楷体_GB2312"/>
          <w:color w:val="auto"/>
          <w:szCs w:val="32"/>
          <w:highlight w:val="none"/>
          <w:shd w:val="clear" w:color="auto" w:fill="FFFFFF"/>
        </w:rPr>
        <w:t>）支持参与</w:t>
      </w:r>
      <w:r>
        <w:rPr>
          <w:rFonts w:hint="eastAsia" w:eastAsia="楷体_GB2312"/>
          <w:color w:val="auto"/>
          <w:szCs w:val="32"/>
          <w:highlight w:val="none"/>
          <w:shd w:val="clear" w:color="auto" w:fill="FFFFFF"/>
          <w:lang w:eastAsia="zh-CN"/>
        </w:rPr>
        <w:t>“</w:t>
      </w:r>
      <w:r>
        <w:rPr>
          <w:rFonts w:hint="default" w:eastAsia="楷体_GB2312"/>
          <w:color w:val="auto"/>
          <w:szCs w:val="32"/>
          <w:highlight w:val="none"/>
          <w:shd w:val="clear" w:color="auto" w:fill="FFFFFF"/>
        </w:rPr>
        <w:t>揭榜挂帅</w:t>
      </w:r>
      <w:r>
        <w:rPr>
          <w:rFonts w:hint="eastAsia" w:eastAsia="楷体_GB2312"/>
          <w:color w:val="auto"/>
          <w:szCs w:val="32"/>
          <w:highlight w:val="none"/>
          <w:shd w:val="clear" w:color="auto" w:fill="FFFFFF"/>
          <w:lang w:eastAsia="zh-CN"/>
        </w:rPr>
        <w:t>”</w:t>
      </w:r>
      <w:r>
        <w:rPr>
          <w:rFonts w:hint="default" w:eastAsia="楷体_GB2312"/>
          <w:color w:val="auto"/>
          <w:szCs w:val="32"/>
          <w:highlight w:val="none"/>
          <w:shd w:val="clear" w:color="auto" w:fill="FFFFFF"/>
        </w:rPr>
        <w:t>、行业规范及产品推广。</w:t>
      </w:r>
      <w:r>
        <w:rPr>
          <w:rFonts w:hint="default" w:ascii="Times New Roman" w:hAnsi="Times New Roman" w:cs="Times New Roman"/>
          <w:color w:val="auto"/>
          <w:szCs w:val="32"/>
          <w:highlight w:val="none"/>
          <w:shd w:val="clear" w:color="auto" w:fill="FFFFFF"/>
        </w:rPr>
        <w:t>结合国家、省工作部署，每年发布《东莞市支持企业参与</w:t>
      </w:r>
      <w:r>
        <w:rPr>
          <w:rFonts w:hint="eastAsia" w:cs="Times New Roman"/>
          <w:color w:val="auto"/>
          <w:szCs w:val="32"/>
          <w:highlight w:val="none"/>
          <w:shd w:val="clear" w:color="auto" w:fill="FFFFFF"/>
          <w:lang w:eastAsia="zh-CN"/>
        </w:rPr>
        <w:t>“</w:t>
      </w:r>
      <w:r>
        <w:rPr>
          <w:rFonts w:hint="default" w:ascii="Times New Roman" w:hAnsi="Times New Roman" w:cs="Times New Roman"/>
          <w:color w:val="auto"/>
          <w:szCs w:val="32"/>
          <w:highlight w:val="none"/>
          <w:shd w:val="clear" w:color="auto" w:fill="FFFFFF"/>
        </w:rPr>
        <w:t>揭榜挂帅</w:t>
      </w:r>
      <w:r>
        <w:rPr>
          <w:rFonts w:hint="eastAsia" w:cs="Times New Roman"/>
          <w:color w:val="auto"/>
          <w:szCs w:val="32"/>
          <w:highlight w:val="none"/>
          <w:shd w:val="clear" w:color="auto" w:fill="FFFFFF"/>
          <w:lang w:eastAsia="zh-CN"/>
        </w:rPr>
        <w:t>”</w:t>
      </w:r>
      <w:r>
        <w:rPr>
          <w:rFonts w:hint="default" w:ascii="Times New Roman" w:hAnsi="Times New Roman" w:cs="Times New Roman"/>
          <w:color w:val="auto"/>
          <w:szCs w:val="32"/>
          <w:highlight w:val="none"/>
          <w:shd w:val="clear" w:color="auto" w:fill="FFFFFF"/>
        </w:rPr>
        <w:t>、行业规范及产品推广工作奖励清单》，明确当年支持的范围和标准；对入围</w:t>
      </w:r>
      <w:r>
        <w:rPr>
          <w:rFonts w:hint="eastAsia" w:cs="Times New Roman"/>
          <w:color w:val="auto"/>
          <w:szCs w:val="32"/>
          <w:highlight w:val="none"/>
          <w:shd w:val="clear" w:color="auto" w:fill="FFFFFF"/>
          <w:lang w:eastAsia="zh-CN"/>
        </w:rPr>
        <w:t>“</w:t>
      </w:r>
      <w:r>
        <w:rPr>
          <w:rFonts w:hint="default" w:ascii="Times New Roman" w:hAnsi="Times New Roman" w:cs="Times New Roman"/>
          <w:color w:val="auto"/>
          <w:szCs w:val="32"/>
          <w:highlight w:val="none"/>
          <w:shd w:val="clear" w:color="auto" w:fill="FFFFFF"/>
        </w:rPr>
        <w:t>揭榜挂帅</w:t>
      </w:r>
      <w:r>
        <w:rPr>
          <w:rFonts w:hint="eastAsia" w:cs="Times New Roman"/>
          <w:color w:val="auto"/>
          <w:szCs w:val="32"/>
          <w:highlight w:val="none"/>
          <w:shd w:val="clear" w:color="auto" w:fill="FFFFFF"/>
          <w:lang w:eastAsia="zh-CN"/>
        </w:rPr>
        <w:t>”</w:t>
      </w:r>
      <w:r>
        <w:rPr>
          <w:rFonts w:hint="default" w:ascii="Times New Roman" w:hAnsi="Times New Roman" w:cs="Times New Roman"/>
          <w:color w:val="auto"/>
          <w:szCs w:val="32"/>
          <w:highlight w:val="none"/>
          <w:shd w:val="clear" w:color="auto" w:fill="FFFFFF"/>
        </w:rPr>
        <w:t>的企业项目，给予一次性最高100万元奖励；</w:t>
      </w:r>
      <w:r>
        <w:rPr>
          <w:rFonts w:hint="eastAsia" w:cs="Times New Roman"/>
          <w:color w:val="auto"/>
          <w:szCs w:val="32"/>
          <w:highlight w:val="none"/>
          <w:shd w:val="clear" w:color="auto" w:fill="FFFFFF"/>
          <w:lang w:eastAsia="zh-CN"/>
        </w:rPr>
        <w:t>支持生物医药企业申报入选</w:t>
      </w:r>
      <w:r>
        <w:rPr>
          <w:rFonts w:hint="default" w:ascii="Times New Roman" w:hAnsi="Times New Roman" w:cs="Times New Roman"/>
          <w:color w:val="auto"/>
          <w:szCs w:val="32"/>
          <w:highlight w:val="none"/>
          <w:shd w:val="clear" w:color="auto" w:fill="FFFFFF"/>
        </w:rPr>
        <w:t>工信部各类行业规范公告名单、产品（企业）推广目录及典型案例</w:t>
      </w:r>
      <w:r>
        <w:rPr>
          <w:rFonts w:hint="eastAsia" w:cs="Times New Roman"/>
          <w:color w:val="auto"/>
          <w:szCs w:val="32"/>
          <w:highlight w:val="none"/>
          <w:shd w:val="clear" w:color="auto" w:fill="FFFFFF"/>
          <w:lang w:eastAsia="zh-CN"/>
        </w:rPr>
        <w:t>。</w:t>
      </w:r>
      <w:r>
        <w:rPr>
          <w:rFonts w:hint="default" w:ascii="Times New Roman" w:hAnsi="Times New Roman" w:cs="Times New Roman"/>
          <w:color w:val="000000"/>
          <w:szCs w:val="32"/>
          <w:highlight w:val="none"/>
          <w:shd w:val="clear" w:color="auto" w:fill="auto"/>
          <w:lang w:eastAsia="zh-CN"/>
        </w:rPr>
        <w:t>（市工业和信息化局</w:t>
      </w:r>
      <w:r>
        <w:rPr>
          <w:rFonts w:hint="eastAsia" w:cs="Times New Roman"/>
          <w:color w:val="auto"/>
          <w:szCs w:val="32"/>
          <w:highlight w:val="none"/>
          <w:shd w:val="clear" w:color="auto" w:fill="FFFFFF"/>
          <w:lang w:eastAsia="zh-CN"/>
        </w:rPr>
        <w:t>、市财政局</w:t>
      </w:r>
      <w:r>
        <w:rPr>
          <w:rFonts w:hint="default" w:ascii="Times New Roman" w:hAnsi="Times New Roman" w:cs="Times New Roman"/>
          <w:color w:val="auto"/>
          <w:szCs w:val="32"/>
          <w:highlight w:val="none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四、支持创新药械研发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</w:t>
      </w:r>
      <w:r>
        <w:rPr>
          <w:rFonts w:hint="eastAsia" w:eastAsia="楷体_GB2312" w:cs="Times New Roman"/>
          <w:color w:val="auto"/>
          <w:sz w:val="32"/>
          <w:szCs w:val="32"/>
          <w:highlight w:val="none"/>
          <w:lang w:eastAsia="zh-CN"/>
        </w:rPr>
        <w:t>九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）支持AI赋能生物医药研发应用。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支持企业利用通过国家生成式人工智能服务备案的大模型二次开发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，围绕药物研发、医学影像分析、疾病预测诊断、个性化治疗等应用场景研发垂直领域模型，促进生物医药研发模式向数据驱动、模型驱动转变，提升研发效率和成功率。（市科技局、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市卫生健康局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</w:t>
      </w:r>
      <w:r>
        <w:rPr>
          <w:rFonts w:hint="eastAsia" w:eastAsia="楷体_GB2312" w:cs="Times New Roman"/>
          <w:color w:val="auto"/>
          <w:sz w:val="32"/>
          <w:szCs w:val="32"/>
          <w:highlight w:val="none"/>
          <w:lang w:eastAsia="zh-CN"/>
        </w:rPr>
        <w:t>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）支持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shd w:val="clear" w:fill="auto"/>
        </w:rPr>
        <w:t>合成生物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研发和产业化。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鼓励企业通过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合成生物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方式研发生产特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食品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化妆品新原料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。对此类成功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研发并进行转化的新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产品，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结合其功能质量、可推广性、创新用途等方面的优势，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给予每个产品最高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万元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奖励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（</w:t>
      </w:r>
      <w:r>
        <w:rPr>
          <w:rFonts w:hint="eastAsia" w:cs="Times New Roman"/>
          <w:color w:val="auto"/>
          <w:sz w:val="32"/>
          <w:szCs w:val="32"/>
          <w:highlight w:val="none"/>
          <w:shd w:val="clear" w:fill="auto"/>
          <w:lang w:eastAsia="zh-CN"/>
        </w:rPr>
        <w:t>市卫生健康局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市科技局、市财政局）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（十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）支持核医疗技术研发和产业化。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依托散裂中子源开展核医疗产业关键技术攻关，支持散裂中子源配套建设医用同位素生产项目，提高α核素的生产供应能力。支持企业开展放射性药物和用于硼中子俘获治疗的硼药研发，对进入I期、Ⅱ期、Ⅲ期临床试验研究的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放射性药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和硼药，分别给予最高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200万元、500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万元、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800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万元奖励，单个企业每年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奖励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最高不超过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1500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万元。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（</w:t>
      </w:r>
      <w:r>
        <w:rPr>
          <w:rFonts w:hint="eastAsia" w:cs="Times New Roman"/>
          <w:color w:val="auto"/>
          <w:sz w:val="32"/>
          <w:szCs w:val="32"/>
          <w:highlight w:val="none"/>
          <w:shd w:val="clear" w:fill="auto"/>
          <w:lang w:eastAsia="zh-CN"/>
        </w:rPr>
        <w:t>市卫生健康局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市科技局、市财政局）</w:t>
      </w:r>
    </w:p>
    <w:p>
      <w:pPr>
        <w:keepNext w:val="0"/>
        <w:keepLines w:val="0"/>
        <w:pageBreakBefore w:val="0"/>
        <w:widowControl w:val="0"/>
        <w:kinsoku/>
        <w:wordWrap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/>
          <w:color w:val="auto"/>
          <w:spacing w:val="-11"/>
          <w:sz w:val="32"/>
          <w:highlight w:val="none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（十二）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支持高端医疗器械研发和产业化。</w:t>
      </w:r>
      <w:r>
        <w:rPr>
          <w:rFonts w:hint="default"/>
          <w:color w:val="auto"/>
          <w:highlight w:val="none"/>
        </w:rPr>
        <w:t>对</w:t>
      </w:r>
      <w:r>
        <w:rPr>
          <w:rFonts w:hint="eastAsia"/>
          <w:color w:val="auto"/>
          <w:highlight w:val="none"/>
          <w:lang w:eastAsia="zh-CN"/>
        </w:rPr>
        <w:t>我市企业首次自主研发</w:t>
      </w:r>
      <w:r>
        <w:rPr>
          <w:rFonts w:hint="default"/>
          <w:color w:val="auto"/>
          <w:highlight w:val="none"/>
        </w:rPr>
        <w:t>的核医疗设备、</w:t>
      </w:r>
      <w:r>
        <w:rPr>
          <w:rFonts w:hint="eastAsia"/>
          <w:color w:val="auto"/>
          <w:highlight w:val="none"/>
        </w:rPr>
        <w:t>医学影像、高值耗材、脑机接口相关</w:t>
      </w:r>
      <w:r>
        <w:rPr>
          <w:rFonts w:hint="eastAsia"/>
          <w:color w:val="auto"/>
          <w:highlight w:val="none"/>
          <w:lang w:eastAsia="zh-CN"/>
        </w:rPr>
        <w:t>的三类</w:t>
      </w:r>
      <w:r>
        <w:rPr>
          <w:rFonts w:hint="eastAsia"/>
          <w:color w:val="auto"/>
          <w:highlight w:val="none"/>
        </w:rPr>
        <w:t>医疗器械</w:t>
      </w:r>
      <w:r>
        <w:rPr>
          <w:rFonts w:hint="default"/>
          <w:color w:val="auto"/>
          <w:highlight w:val="none"/>
        </w:rPr>
        <w:t>，每个产品分别给予最高100万元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奖励</w:t>
      </w:r>
      <w:r>
        <w:rPr>
          <w:rFonts w:hint="default"/>
          <w:color w:val="auto"/>
          <w:highlight w:val="none"/>
        </w:rPr>
        <w:t>，单个企业每年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奖励</w:t>
      </w:r>
      <w:r>
        <w:rPr>
          <w:rFonts w:hint="default"/>
          <w:color w:val="auto"/>
          <w:highlight w:val="none"/>
        </w:rPr>
        <w:t>最高不超过300万元。</w:t>
      </w:r>
      <w:r>
        <w:rPr>
          <w:rFonts w:hint="default"/>
          <w:color w:val="auto"/>
          <w:spacing w:val="-11"/>
          <w:sz w:val="32"/>
          <w:highlight w:val="none"/>
          <w:shd w:val="clear" w:fill="auto"/>
        </w:rPr>
        <w:t>（市卫生健康局</w:t>
      </w:r>
      <w:r>
        <w:rPr>
          <w:rFonts w:hint="default"/>
          <w:color w:val="auto"/>
          <w:spacing w:val="-11"/>
          <w:sz w:val="32"/>
          <w:highlight w:val="none"/>
        </w:rPr>
        <w:t>、市科技局、市财政局）</w:t>
      </w:r>
    </w:p>
    <w:p>
      <w:pPr>
        <w:keepNext w:val="0"/>
        <w:keepLines w:val="0"/>
        <w:pageBreakBefore w:val="0"/>
        <w:widowControl w:val="0"/>
        <w:kinsoku/>
        <w:wordWrap/>
        <w:bidi w:val="0"/>
        <w:adjustRightInd/>
        <w:snapToGrid/>
        <w:spacing w:line="579" w:lineRule="exact"/>
        <w:ind w:firstLine="632" w:firstLineChars="200"/>
        <w:textAlignment w:val="auto"/>
        <w:rPr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（十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）支持一类新药研发和产业化。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支持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我市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创新型企业开展创新药研发，对企业首次自主研发的一类新药，给予最高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000万元一次性奖励。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（</w:t>
      </w:r>
      <w:r>
        <w:rPr>
          <w:rFonts w:hint="eastAsia" w:cs="Times New Roman"/>
          <w:color w:val="auto"/>
          <w:sz w:val="32"/>
          <w:szCs w:val="32"/>
          <w:highlight w:val="none"/>
          <w:shd w:val="clear" w:fill="auto"/>
          <w:lang w:eastAsia="zh-CN"/>
        </w:rPr>
        <w:t>市卫生健康局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市科技局、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市市场监管局、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市财政局）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bidi w:val="0"/>
        <w:adjustRightInd/>
        <w:snapToGrid/>
        <w:spacing w:after="0" w:line="579" w:lineRule="exact"/>
        <w:ind w:firstLine="632" w:firstLineChars="200"/>
        <w:textAlignment w:val="auto"/>
        <w:rPr>
          <w:rFonts w:hint="default"/>
          <w:color w:val="auto"/>
          <w:highlight w:val="none"/>
        </w:rPr>
      </w:pPr>
      <w:r>
        <w:rPr>
          <w:rFonts w:hint="default" w:eastAsia="楷体_GB2312"/>
          <w:color w:val="auto"/>
          <w:szCs w:val="32"/>
          <w:highlight w:val="none"/>
        </w:rPr>
        <w:t>（十</w:t>
      </w:r>
      <w:r>
        <w:rPr>
          <w:rFonts w:hint="eastAsia" w:eastAsia="楷体_GB2312"/>
          <w:color w:val="auto"/>
          <w:szCs w:val="32"/>
          <w:highlight w:val="none"/>
          <w:lang w:eastAsia="zh-CN"/>
        </w:rPr>
        <w:t>四</w:t>
      </w:r>
      <w:r>
        <w:rPr>
          <w:rFonts w:hint="default" w:eastAsia="楷体_GB2312"/>
          <w:color w:val="auto"/>
          <w:szCs w:val="32"/>
          <w:highlight w:val="none"/>
        </w:rPr>
        <w:t>）支持中药制剂研发</w:t>
      </w:r>
      <w:r>
        <w:rPr>
          <w:rFonts w:hint="eastAsia" w:eastAsia="楷体_GB2312"/>
          <w:color w:val="auto"/>
          <w:szCs w:val="32"/>
          <w:highlight w:val="none"/>
          <w:lang w:eastAsia="zh-CN"/>
        </w:rPr>
        <w:t>和产业化</w:t>
      </w:r>
      <w:r>
        <w:rPr>
          <w:rFonts w:hint="default" w:eastAsia="楷体_GB2312"/>
          <w:color w:val="auto"/>
          <w:szCs w:val="32"/>
          <w:highlight w:val="none"/>
        </w:rPr>
        <w:t>。</w:t>
      </w:r>
      <w:r>
        <w:rPr>
          <w:rFonts w:hint="default"/>
          <w:color w:val="auto"/>
          <w:highlight w:val="none"/>
        </w:rPr>
        <w:t>支持</w:t>
      </w:r>
      <w:r>
        <w:rPr>
          <w:rFonts w:hint="eastAsia"/>
          <w:color w:val="auto"/>
          <w:highlight w:val="none"/>
          <w:lang w:eastAsia="zh-CN"/>
        </w:rPr>
        <w:t>我市</w:t>
      </w:r>
      <w:r>
        <w:rPr>
          <w:rFonts w:hint="default"/>
          <w:color w:val="auto"/>
          <w:highlight w:val="none"/>
        </w:rPr>
        <w:t>医疗机构、企业</w:t>
      </w:r>
      <w:r>
        <w:rPr>
          <w:rFonts w:hint="eastAsia"/>
          <w:color w:val="auto"/>
          <w:highlight w:val="none"/>
          <w:lang w:eastAsia="zh-CN"/>
        </w:rPr>
        <w:t>按规定</w:t>
      </w:r>
      <w:r>
        <w:rPr>
          <w:rFonts w:hint="default"/>
          <w:color w:val="auto"/>
          <w:highlight w:val="none"/>
        </w:rPr>
        <w:t>开展中药制剂研发、备案与注册，推动</w:t>
      </w:r>
      <w:r>
        <w:rPr>
          <w:rFonts w:hint="eastAsia"/>
          <w:color w:val="auto"/>
          <w:highlight w:val="none"/>
          <w:lang w:eastAsia="zh-CN"/>
        </w:rPr>
        <w:t>符合条件的</w:t>
      </w:r>
      <w:r>
        <w:rPr>
          <w:rFonts w:hint="default"/>
          <w:color w:val="auto"/>
          <w:highlight w:val="none"/>
        </w:rPr>
        <w:t>中药制剂在全市医联体内调剂使用。支持</w:t>
      </w:r>
      <w:r>
        <w:rPr>
          <w:rFonts w:hint="eastAsia"/>
          <w:color w:val="auto"/>
          <w:highlight w:val="none"/>
          <w:lang w:eastAsia="zh-CN"/>
        </w:rPr>
        <w:t>集约、</w:t>
      </w:r>
      <w:r>
        <w:rPr>
          <w:rFonts w:hint="default"/>
          <w:color w:val="auto"/>
          <w:highlight w:val="none"/>
        </w:rPr>
        <w:t>规范建设中药制剂中心和</w:t>
      </w:r>
      <w:r>
        <w:rPr>
          <w:rFonts w:hint="default"/>
          <w:color w:val="auto"/>
          <w:highlight w:val="none"/>
          <w:shd w:val="clear" w:fill="auto"/>
        </w:rPr>
        <w:t>煎配</w:t>
      </w:r>
      <w:r>
        <w:rPr>
          <w:rFonts w:hint="default"/>
          <w:color w:val="auto"/>
          <w:highlight w:val="none"/>
        </w:rPr>
        <w:t>中心，提升区域中药制剂协同发展能力。</w:t>
      </w:r>
      <w:r>
        <w:rPr>
          <w:rFonts w:hint="default"/>
          <w:color w:val="auto"/>
          <w:highlight w:val="none"/>
          <w:shd w:val="clear" w:fill="auto"/>
        </w:rPr>
        <w:t>（市卫生健康局</w:t>
      </w:r>
      <w:r>
        <w:rPr>
          <w:rFonts w:hint="eastAsia"/>
          <w:color w:val="auto"/>
          <w:highlight w:val="none"/>
          <w:lang w:eastAsia="zh-CN"/>
        </w:rPr>
        <w:t>、市市场监管局、</w:t>
      </w:r>
      <w:r>
        <w:rPr>
          <w:rFonts w:hint="default"/>
          <w:color w:val="auto"/>
          <w:highlight w:val="none"/>
        </w:rPr>
        <w:t>市科技局、市医保局）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五、打造公共服务平台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楷体_GB2312" w:cs="Times New Roman"/>
          <w:color w:val="auto"/>
          <w:sz w:val="32"/>
          <w:szCs w:val="32"/>
          <w:highlight w:val="none"/>
          <w:lang w:val="en"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" w:eastAsia="zh-CN"/>
        </w:rPr>
        <w:t>十</w:t>
      </w:r>
      <w:r>
        <w:rPr>
          <w:rFonts w:hint="eastAsia" w:eastAsia="楷体_GB2312" w:cs="Times New Roman"/>
          <w:color w:val="auto"/>
          <w:sz w:val="32"/>
          <w:szCs w:val="32"/>
          <w:highlight w:val="none"/>
          <w:lang w:val="en" w:eastAsia="zh-CN"/>
        </w:rPr>
        <w:t>五）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" w:eastAsia="zh-CN"/>
        </w:rPr>
        <w:t>支持生物医药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"/>
        </w:rPr>
        <w:t>概念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" w:eastAsia="zh-CN"/>
        </w:rPr>
        <w:t>验证中心和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"/>
        </w:rPr>
        <w:t>中试平台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" w:eastAsia="zh-CN"/>
        </w:rPr>
        <w:t>建设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围绕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高端医疗器械、合成生物、细胞与基因治疗等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重点细分领域，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支持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高等院校、科研机构、大科学装置、实验室、医疗卫生机构、企业或社会组织等采取独立或联合方式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市场化概念验证和中试服务的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平台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载体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并给予一定支持，具体奖励细则依据当年有关政策措施执行。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（市科技局、市发展改革局、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  <w:lang w:eastAsia="zh-CN"/>
        </w:rPr>
        <w:t>市工业和信息化局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、市财政局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（十</w:t>
      </w:r>
      <w:r>
        <w:rPr>
          <w:rFonts w:hint="eastAsia" w:eastAsia="楷体_GB2312" w:cs="Times New Roman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）支持产业公共服务平台建设。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打造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一批CR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O、C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DM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O、G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LP机构等生物医药产业公共服务平台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对外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提供药物发现、动物实验、检验检测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中药制剂研发与煎配等专业服务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单个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项目奖励金额最高不超过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万元，每个服务平台年度周期内获得奖励总额不超过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万元。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（</w:t>
      </w:r>
      <w:r>
        <w:rPr>
          <w:rFonts w:hint="eastAsia" w:cs="Times New Roman"/>
          <w:color w:val="auto"/>
          <w:sz w:val="32"/>
          <w:szCs w:val="32"/>
          <w:highlight w:val="none"/>
          <w:shd w:val="clear" w:fill="auto"/>
          <w:lang w:eastAsia="zh-CN"/>
        </w:rPr>
        <w:t>市卫生健康局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市科技局、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市市场监管局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、市财政局）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（十</w:t>
      </w:r>
      <w:r>
        <w:rPr>
          <w:rFonts w:hint="eastAsia" w:eastAsia="楷体_GB2312" w:cs="Times New Roman"/>
          <w:color w:val="auto"/>
          <w:sz w:val="32"/>
          <w:szCs w:val="32"/>
          <w:highlight w:val="none"/>
          <w:lang w:eastAsia="zh-CN"/>
        </w:rPr>
        <w:t>七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  <w:shd w:val="clear" w:fill="FFFFFF"/>
        </w:rPr>
        <w:t>支持临床试验机构开展研发服务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。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对于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我市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生物医药企业（双方无股权投资关系）提供临床研究服务的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医疗机构，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给予最高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万元奖励。承担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市生物医药企业发起的临床试验（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创新药、第三类医疗器械）的主要研究者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及其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推荐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一名研究者，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认定其承担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一项市级科技项目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（市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  <w:lang w:eastAsia="zh-CN"/>
        </w:rPr>
        <w:t>卫生健康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、市科技局、市市场监管局、市财政局）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六、建设行业应用场景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（十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八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）支持创新药械入院使用。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推动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创新药械纳入国家和省的产品目录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。各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医疗机构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应在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省创新药械产品目录公布后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个月内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召开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会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按实际及时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创新药械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纳入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本单位基本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用药或用械目录，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对符合条件的创新药械开辟临床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  <w:lang w:eastAsia="zh-CN"/>
        </w:rPr>
        <w:t>“绿色通道”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做到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应配尽配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。鼓励公立医院将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开展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创新药械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临床试验情况纳入绩效考核，对经认定的临床研究床位不纳入病床效益、周转率、使用率等考核。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将创新药械入院情况纳入医疗机构领导班子考核。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（市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  <w:lang w:eastAsia="zh-CN"/>
        </w:rPr>
        <w:t>卫生健康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市工业和信息化局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、市市场监管局、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市医保局）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十九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）支持院企合作打造</w:t>
      </w:r>
      <w:r>
        <w:rPr>
          <w:rFonts w:hint="eastAsia" w:eastAsia="楷体_GB2312" w:cs="Times New Roman"/>
          <w:color w:val="auto"/>
          <w:sz w:val="32"/>
          <w:szCs w:val="32"/>
          <w:highlight w:val="none"/>
          <w:lang w:eastAsia="zh-CN"/>
        </w:rPr>
        <w:t>标志性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应用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支持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院企合作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开展药械临床综合评价、创新药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标志性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应用项目。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引导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院企联合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开展上市后评价、真实世界疗效评价、适应症拓展等研究，每项创新药品、器械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标志性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应用项目分别给予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最高不超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100万元、50万元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奖励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，加快形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成“应用示范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反馈改进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水平提升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辐射推广”的创新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迭代。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  <w:lang w:eastAsia="zh-CN"/>
        </w:rPr>
        <w:t>卫生健康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、市科技局、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市工业和信息化局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、市市场监管局、市财政局）</w:t>
      </w:r>
    </w:p>
    <w:p>
      <w:pPr>
        <w:keepNext w:val="0"/>
        <w:keepLines w:val="0"/>
        <w:pageBreakBefore w:val="0"/>
        <w:widowControl w:val="0"/>
        <w:kinsoku/>
        <w:wordWrap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/>
          <w:color w:val="auto"/>
          <w:highlight w:val="none"/>
        </w:rPr>
      </w:pPr>
      <w:r>
        <w:rPr>
          <w:rFonts w:hint="default" w:eastAsia="楷体_GB2312"/>
          <w:color w:val="auto"/>
          <w:szCs w:val="32"/>
          <w:highlight w:val="none"/>
        </w:rPr>
        <w:t>（</w:t>
      </w:r>
      <w:r>
        <w:rPr>
          <w:rFonts w:hint="eastAsia" w:eastAsia="楷体_GB2312"/>
          <w:color w:val="auto"/>
          <w:szCs w:val="32"/>
          <w:highlight w:val="none"/>
          <w:lang w:eastAsia="zh-CN"/>
        </w:rPr>
        <w:t>二十</w:t>
      </w:r>
      <w:r>
        <w:rPr>
          <w:rFonts w:hint="default" w:eastAsia="楷体_GB2312"/>
          <w:color w:val="auto"/>
          <w:szCs w:val="32"/>
          <w:highlight w:val="none"/>
        </w:rPr>
        <w:t>）支持医疗器械创新应用。</w:t>
      </w:r>
      <w:r>
        <w:rPr>
          <w:rFonts w:hint="default"/>
          <w:color w:val="auto"/>
          <w:highlight w:val="none"/>
        </w:rPr>
        <w:t>支持</w:t>
      </w:r>
      <w:r>
        <w:rPr>
          <w:rFonts w:hint="eastAsia"/>
          <w:color w:val="auto"/>
          <w:highlight w:val="none"/>
          <w:lang w:eastAsia="zh-CN"/>
        </w:rPr>
        <w:t>高端医疗装备等</w:t>
      </w:r>
      <w:r>
        <w:rPr>
          <w:rFonts w:hint="default"/>
          <w:color w:val="auto"/>
          <w:highlight w:val="none"/>
        </w:rPr>
        <w:t>首台（套）装备应用，</w:t>
      </w:r>
      <w:r>
        <w:rPr>
          <w:rFonts w:hint="default"/>
          <w:color w:val="auto"/>
          <w:highlight w:val="none"/>
          <w:shd w:val="clear" w:fill="auto"/>
        </w:rPr>
        <w:t>对符合市首台（套）重点技术装备推广应用指导目录的项目予以认定</w:t>
      </w:r>
      <w:r>
        <w:rPr>
          <w:rFonts w:hint="default"/>
          <w:color w:val="auto"/>
          <w:highlight w:val="none"/>
        </w:rPr>
        <w:t>。鼓励生物医药企业建设市级制造业创新中心，对市制造业创新中心依托单位创新能力建设项目，单个项目最高资助500万元。</w:t>
      </w:r>
      <w:r>
        <w:rPr>
          <w:rFonts w:hint="eastAsia"/>
          <w:color w:val="000000"/>
          <w:highlight w:val="none"/>
          <w:shd w:val="clear" w:fill="auto"/>
          <w:lang w:eastAsia="zh-CN"/>
        </w:rPr>
        <w:t>（市工业和信息化局</w:t>
      </w:r>
      <w:r>
        <w:rPr>
          <w:rFonts w:hint="eastAsia"/>
          <w:color w:val="auto"/>
          <w:highlight w:val="none"/>
          <w:lang w:eastAsia="zh-CN"/>
        </w:rPr>
        <w:t>、市科技局、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卫生健康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局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/>
          <w:color w:val="auto"/>
          <w:highlight w:val="none"/>
          <w:lang w:eastAsia="zh-CN"/>
        </w:rPr>
        <w:t>市财政局）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（二十一）支持创新成果转化。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支持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我市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有条件的医疗机构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在我市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设立独立法人成果转化平台公司，推动成果转化模式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从“一次性转让”向“长期股权合作”升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级。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  <w:lang w:eastAsia="zh-CN"/>
        </w:rPr>
        <w:t>卫生健康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、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shd w:val="clear" w:fill="auto"/>
          <w:lang w:eastAsia="zh-CN"/>
        </w:rPr>
        <w:t>市工</w:t>
      </w:r>
      <w:r>
        <w:rPr>
          <w:rFonts w:hint="eastAsia" w:cs="Times New Roman"/>
          <w:color w:val="auto"/>
          <w:sz w:val="32"/>
          <w:szCs w:val="32"/>
          <w:highlight w:val="none"/>
          <w:shd w:val="clear" w:fill="auto"/>
          <w:lang w:eastAsia="zh-CN"/>
        </w:rPr>
        <w:t>业和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shd w:val="clear" w:fill="auto"/>
          <w:lang w:eastAsia="zh-CN"/>
        </w:rPr>
        <w:t>信</w:t>
      </w:r>
      <w:r>
        <w:rPr>
          <w:rFonts w:hint="eastAsia" w:cs="Times New Roman"/>
          <w:color w:val="auto"/>
          <w:sz w:val="32"/>
          <w:szCs w:val="32"/>
          <w:highlight w:val="none"/>
          <w:shd w:val="clear" w:fill="auto"/>
          <w:lang w:eastAsia="zh-CN"/>
        </w:rPr>
        <w:t>息化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shd w:val="clear" w:fill="auto"/>
          <w:lang w:eastAsia="zh-CN"/>
        </w:rPr>
        <w:t>局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市科技局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（二十二）共筑大湾区创新发展生态圈。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支持医疗机构与港澳科研机构合作开展创新药械研发，推动跨区域创新成果在我市快速应用。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  <w:lang w:eastAsia="zh-CN"/>
        </w:rPr>
        <w:t>卫生健康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市市场监管局、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市医保局、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科技局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七、优化产业创新生态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shd w:val="clear" w:fill="auto"/>
        </w:rPr>
        <w:t>（</w:t>
      </w:r>
      <w:r>
        <w:rPr>
          <w:rFonts w:hint="eastAsia" w:eastAsia="楷体_GB2312" w:cs="Times New Roman"/>
          <w:color w:val="auto"/>
          <w:sz w:val="32"/>
          <w:szCs w:val="32"/>
          <w:highlight w:val="none"/>
          <w:shd w:val="clear" w:fill="auto"/>
          <w:lang w:eastAsia="zh-CN"/>
        </w:rPr>
        <w:t>二十三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shd w:val="clear" w:fill="auto"/>
        </w:rPr>
        <w:t>）加强医药创新人才队伍建设。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面向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生物医药产业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重点领域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发展需求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，聚焦源头创新、技术攻关和成果转化等关键环节，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引进培育一批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战略科学家、科技领军人才和创新团队、青年科技人才来莞创新创业，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按照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《东莞市支持人才创新创业项目实施办法》给予支持。紧扣医学领域前沿和我市卫生健康事业发展需要，遴选引进一批高层次医学专科团队，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按</w:t>
      </w:r>
      <w:r>
        <w:rPr>
          <w:rFonts w:hint="eastAsia"/>
          <w:color w:val="auto"/>
          <w:szCs w:val="32"/>
          <w:highlight w:val="none"/>
        </w:rPr>
        <w:t>《东莞市“引才领航”高层次医学专科团队项目实施方案》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给予支持。（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市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科技局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市卫生健康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局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、市财政局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bidi w:val="0"/>
        <w:adjustRightInd/>
        <w:snapToGrid/>
        <w:spacing w:line="579" w:lineRule="exact"/>
        <w:ind w:left="0" w:leftChars="0" w:firstLine="632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（二十四）强化知识产权运营与维权援助。</w:t>
      </w:r>
      <w:r>
        <w:rPr>
          <w:rFonts w:hint="default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依托松山湖科学城国际知识产权运营中心，服务我市生物医药企业及高校院所开展知识产权运营转化。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面向生物医药企业，持续开展海外商标抢注监测和海外维权援助，提升企业保护和纠纷应对能力。设立海外知识产权维权援助资助项目，对企业一次性给予不超过100万元资助。（市市场监管局、市财政局）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/>
          <w:color w:val="auto"/>
          <w:highlight w:val="none"/>
        </w:rPr>
      </w:pPr>
      <w:r>
        <w:rPr>
          <w:rFonts w:hint="eastAsia" w:ascii="Times New Roman" w:hAnsi="Times New Roman" w:eastAsia="楷体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（二十五）加强创新药械注册指导服务。</w:t>
      </w:r>
      <w:r>
        <w:rPr>
          <w:rFonts w:hint="default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充分发挥药械注册指导服务东莞工作站的前置服务作用，为药械企业提供全链条注册咨询与申报指导；着力推动重点项目的生产许可及上市后变更等</w:t>
      </w:r>
      <w:bookmarkStart w:id="0" w:name="_GoBack"/>
      <w:bookmarkEnd w:id="0"/>
      <w:r>
        <w:rPr>
          <w:rFonts w:hint="default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关键环节纳入优先审评通道，打通注册堵点，提升注册效率。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（市市场监管局）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</w:t>
      </w:r>
      <w:r>
        <w:rPr>
          <w:rFonts w:hint="eastAsia" w:eastAsia="楷体_GB2312" w:cs="Times New Roman"/>
          <w:color w:val="auto"/>
          <w:sz w:val="32"/>
          <w:szCs w:val="32"/>
          <w:highlight w:val="none"/>
          <w:lang w:eastAsia="zh-CN"/>
        </w:rPr>
        <w:t>二十六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）加强产业金融支撑。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充分发挥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高质量基金体系对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产业培育发展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的赋能作用，支持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生物医药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企业全生命周期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发展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。发挥国有资金的杠杆作用，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引导社会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金融资本投向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生物医药产业，发展壮大耐心资本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。支持有条件的镇街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园区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、国企共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生物医药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产业基金，围绕关键领域投早、投小、投长期、投硬科技。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支持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我市产业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“链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业、大型科技企业和上市公司围绕产业链上下游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开展企业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风险投资，共同出资设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批“链主”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基金，推动重点产业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“补链强链延链”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。（市国资委、市科技局、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市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卫生健康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市财政局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镇街</w:t>
      </w: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园区）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</w:t>
      </w:r>
      <w:r>
        <w:rPr>
          <w:rFonts w:hint="eastAsia" w:eastAsia="楷体_GB2312" w:cs="Times New Roman"/>
          <w:color w:val="auto"/>
          <w:sz w:val="32"/>
          <w:szCs w:val="32"/>
          <w:highlight w:val="none"/>
          <w:lang w:eastAsia="zh-CN"/>
        </w:rPr>
        <w:t>二十七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）建设生物医药产业园区。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以松湖药港、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石龙镇现代化产业园西湖片区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为中心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建设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东莞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市生物医药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特色产业园。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鼓励镇街（园区）依照实际情况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建设主题鲜明的生物医药产业园区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支持产业园区完善配套设施、招引优质项目、引育人才团队，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做好企业发展的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属地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保障工作。支持中药制剂中心、煎配中心等专业载体建设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fill="auto"/>
        </w:rPr>
        <w:t>（</w:t>
      </w:r>
      <w:r>
        <w:rPr>
          <w:rFonts w:hint="eastAsia" w:cs="Times New Roman"/>
          <w:color w:val="auto"/>
          <w:sz w:val="32"/>
          <w:szCs w:val="32"/>
          <w:highlight w:val="none"/>
          <w:shd w:val="clear" w:fill="auto"/>
          <w:lang w:eastAsia="zh-CN"/>
        </w:rPr>
        <w:t>市卫生健康局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市科技局、市财政局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各镇街</w:t>
      </w: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园区）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十</w:t>
      </w:r>
      <w:r>
        <w:rPr>
          <w:rFonts w:hint="eastAsia" w:eastAsia="楷体_GB2312" w:cs="Times New Roman"/>
          <w:color w:val="auto"/>
          <w:sz w:val="32"/>
          <w:szCs w:val="32"/>
          <w:highlight w:val="none"/>
          <w:lang w:eastAsia="zh-CN"/>
        </w:rPr>
        <w:t>八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）发挥国企创新引领作用。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推动市镇两级国企深度参与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生物医药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产业培育发展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夯实有关国企在重大项目招引、公共服务平台搭建、产业园区建设运营、基金投融资体系建设等关键环节的职责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，强化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资本、空间、服务等要素支撑。（市国资委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各镇街</w:t>
      </w: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园区）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八、附则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措施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由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东莞市卫</w:t>
      </w: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t>生健康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会同有关部门、镇街（园区）负责解释。实施期间，如遇国家、省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、市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相关政策调整，将作相应调整。本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措施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涉及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奖励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比例和限额均为上限，实际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奖励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比例和金额受年度预算总量控制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涉及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奖励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条款的执行范围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、标准、条件等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具体以当年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发布的实施细则、申报指南为准，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与我市其他同类政策</w:t>
      </w:r>
      <w:r>
        <w:rPr>
          <w:rFonts w:hint="eastAsia" w:cs="Times New Roman"/>
          <w:color w:val="auto"/>
          <w:sz w:val="32"/>
          <w:szCs w:val="32"/>
          <w:highlight w:val="none"/>
          <w:lang w:eastAsia="zh-CN"/>
        </w:rPr>
        <w:t>存在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不一致，按就高、从优、不重复的原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  <w:highlight w:val="none"/>
        </w:rPr>
        <w:t>则执行。本</w:t>
      </w:r>
      <w:r>
        <w:rPr>
          <w:rFonts w:hint="eastAsia" w:cs="Times New Roman"/>
          <w:color w:val="auto"/>
          <w:spacing w:val="-11"/>
          <w:sz w:val="32"/>
          <w:szCs w:val="32"/>
          <w:highlight w:val="none"/>
          <w:lang w:eastAsia="zh-CN"/>
        </w:rPr>
        <w:t>措施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  <w:highlight w:val="none"/>
        </w:rPr>
        <w:t>自印发之日起实施，有效期</w:t>
      </w:r>
      <w:r>
        <w:rPr>
          <w:rFonts w:hint="eastAsia" w:cs="Times New Roman"/>
          <w:color w:val="auto"/>
          <w:spacing w:val="-11"/>
          <w:sz w:val="32"/>
          <w:szCs w:val="32"/>
          <w:highlight w:val="none"/>
          <w:lang w:eastAsia="zh-CN"/>
        </w:rPr>
        <w:t>三年。</w:t>
      </w:r>
    </w:p>
    <w:sectPr>
      <w:footerReference r:id="rId4" w:type="first"/>
      <w:footerReference r:id="rId3" w:type="default"/>
      <w:pgSz w:w="11907" w:h="16840"/>
      <w:pgMar w:top="1701" w:right="1474" w:bottom="1134" w:left="1587" w:header="851" w:footer="986" w:gutter="0"/>
      <w:pgBorders w:display="first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AndChars" w:linePitch="636" w:charSpace="-8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康简标题宋">
    <w:altName w:val="宋体"/>
    <w:panose1 w:val="02010609000101010101"/>
    <w:charset w:val="00"/>
    <w:family w:val="modern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4500" cy="23050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50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8.15pt;width:3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NrVrUnQAAAAAwEAAA8AAAAA&#10;AAAAAQAgAAAAIgAAAGRycy9kb3ducmV2LnhtbFBLAQIUABQAAAAIAIdO4kCyyZaY4wEAALwDAAAO&#10;AAAAAAAAAAEAIAAAAB8BAABkcnMvZTJvRG9jLnhtbFBLBQYAAAAABgAGAFkBAAB0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jc w:val="center"/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UvbTz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58"/>
  <w:drawingGridVerticalSpacing w:val="318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EBC9126"/>
    <w:rsid w:val="007A4AB7"/>
    <w:rsid w:val="00C23A6E"/>
    <w:rsid w:val="01C00004"/>
    <w:rsid w:val="030F15AB"/>
    <w:rsid w:val="051C5F24"/>
    <w:rsid w:val="05862FC3"/>
    <w:rsid w:val="0EDE493F"/>
    <w:rsid w:val="0EFA1002"/>
    <w:rsid w:val="0F65396A"/>
    <w:rsid w:val="0F6611A1"/>
    <w:rsid w:val="11BE4442"/>
    <w:rsid w:val="150A55BE"/>
    <w:rsid w:val="1758774E"/>
    <w:rsid w:val="183D732D"/>
    <w:rsid w:val="185C0E01"/>
    <w:rsid w:val="186F5219"/>
    <w:rsid w:val="1AEF6B0B"/>
    <w:rsid w:val="1BB40737"/>
    <w:rsid w:val="1BD028CB"/>
    <w:rsid w:val="1C2A6E9A"/>
    <w:rsid w:val="1E2C2AEC"/>
    <w:rsid w:val="1F7FD6F3"/>
    <w:rsid w:val="206D0D8A"/>
    <w:rsid w:val="20EA54A7"/>
    <w:rsid w:val="216C2FD7"/>
    <w:rsid w:val="268D0EEE"/>
    <w:rsid w:val="28505EB1"/>
    <w:rsid w:val="29DFC867"/>
    <w:rsid w:val="2A2D7B72"/>
    <w:rsid w:val="2AA844CF"/>
    <w:rsid w:val="2B4D3244"/>
    <w:rsid w:val="2C9305BC"/>
    <w:rsid w:val="2D115514"/>
    <w:rsid w:val="2D8A6647"/>
    <w:rsid w:val="2EA77844"/>
    <w:rsid w:val="2FAD4F7C"/>
    <w:rsid w:val="2FD17869"/>
    <w:rsid w:val="32763F74"/>
    <w:rsid w:val="37FD62F1"/>
    <w:rsid w:val="3891486E"/>
    <w:rsid w:val="39F84A8D"/>
    <w:rsid w:val="3A836C15"/>
    <w:rsid w:val="3ADC5695"/>
    <w:rsid w:val="3C127179"/>
    <w:rsid w:val="3CE24622"/>
    <w:rsid w:val="3E4D3644"/>
    <w:rsid w:val="3FDC376E"/>
    <w:rsid w:val="408968F5"/>
    <w:rsid w:val="41904B15"/>
    <w:rsid w:val="41C6543D"/>
    <w:rsid w:val="425D19CE"/>
    <w:rsid w:val="45C05D2C"/>
    <w:rsid w:val="465C3164"/>
    <w:rsid w:val="47FE21F6"/>
    <w:rsid w:val="48107BB4"/>
    <w:rsid w:val="481B35FD"/>
    <w:rsid w:val="49175E6A"/>
    <w:rsid w:val="4AB42DFA"/>
    <w:rsid w:val="4AB769D1"/>
    <w:rsid w:val="4AE37691"/>
    <w:rsid w:val="4B092F63"/>
    <w:rsid w:val="4B3329BA"/>
    <w:rsid w:val="4B5B5BD1"/>
    <w:rsid w:val="4F6F70BD"/>
    <w:rsid w:val="4FF7219A"/>
    <w:rsid w:val="50103224"/>
    <w:rsid w:val="506A727A"/>
    <w:rsid w:val="51F52254"/>
    <w:rsid w:val="52CB3DC2"/>
    <w:rsid w:val="53714217"/>
    <w:rsid w:val="53F27F95"/>
    <w:rsid w:val="56212396"/>
    <w:rsid w:val="58BB68D4"/>
    <w:rsid w:val="596A7D11"/>
    <w:rsid w:val="5B130AB9"/>
    <w:rsid w:val="5B5B7A7A"/>
    <w:rsid w:val="5BB520F4"/>
    <w:rsid w:val="5D6D1F91"/>
    <w:rsid w:val="5DE41694"/>
    <w:rsid w:val="638720B8"/>
    <w:rsid w:val="64E930C1"/>
    <w:rsid w:val="67FB086E"/>
    <w:rsid w:val="68C3499F"/>
    <w:rsid w:val="6ACB5E07"/>
    <w:rsid w:val="6B5815C4"/>
    <w:rsid w:val="6BB243B6"/>
    <w:rsid w:val="6DF7CB0F"/>
    <w:rsid w:val="6F5A53AE"/>
    <w:rsid w:val="6FD76612"/>
    <w:rsid w:val="6FF5DB77"/>
    <w:rsid w:val="6FFF89B1"/>
    <w:rsid w:val="706403E6"/>
    <w:rsid w:val="71A838B3"/>
    <w:rsid w:val="721A5AD2"/>
    <w:rsid w:val="722A6C7B"/>
    <w:rsid w:val="75585E4E"/>
    <w:rsid w:val="75FEBAA5"/>
    <w:rsid w:val="766C47F2"/>
    <w:rsid w:val="767FF4AD"/>
    <w:rsid w:val="771D44D5"/>
    <w:rsid w:val="77285B80"/>
    <w:rsid w:val="77E095AA"/>
    <w:rsid w:val="77FE2AF6"/>
    <w:rsid w:val="79220498"/>
    <w:rsid w:val="79545919"/>
    <w:rsid w:val="79D14239"/>
    <w:rsid w:val="79DF031F"/>
    <w:rsid w:val="7A357BCC"/>
    <w:rsid w:val="7CA12010"/>
    <w:rsid w:val="7CA43A91"/>
    <w:rsid w:val="7D4844C0"/>
    <w:rsid w:val="7D4F3EB7"/>
    <w:rsid w:val="7EBB252C"/>
    <w:rsid w:val="7EDBF480"/>
    <w:rsid w:val="7EE46D35"/>
    <w:rsid w:val="7F8F20CC"/>
    <w:rsid w:val="7FA7C16B"/>
    <w:rsid w:val="7FFE04A3"/>
    <w:rsid w:val="8FFA8BB7"/>
    <w:rsid w:val="91535700"/>
    <w:rsid w:val="9EBC9126"/>
    <w:rsid w:val="9FFBC78B"/>
    <w:rsid w:val="BD9F5C8A"/>
    <w:rsid w:val="C7EE3311"/>
    <w:rsid w:val="C8F8DFEC"/>
    <w:rsid w:val="CEBF7361"/>
    <w:rsid w:val="D1BEF1A5"/>
    <w:rsid w:val="DEF49E15"/>
    <w:rsid w:val="DF7F43BD"/>
    <w:rsid w:val="DFFFCCA4"/>
    <w:rsid w:val="E4D834C4"/>
    <w:rsid w:val="ED5F3E2A"/>
    <w:rsid w:val="EFFC9004"/>
    <w:rsid w:val="F5D383FE"/>
    <w:rsid w:val="F647D691"/>
    <w:rsid w:val="F6F6D8DB"/>
    <w:rsid w:val="F7DB4FED"/>
    <w:rsid w:val="F7DD1B6E"/>
    <w:rsid w:val="F7DF31F6"/>
    <w:rsid w:val="FB74DA95"/>
    <w:rsid w:val="FD7E0F88"/>
    <w:rsid w:val="FDCECACC"/>
    <w:rsid w:val="FE6E7ADA"/>
    <w:rsid w:val="FECE9352"/>
    <w:rsid w:val="FEEFF263"/>
    <w:rsid w:val="FF1FB43B"/>
    <w:rsid w:val="FF69649E"/>
    <w:rsid w:val="FF773B57"/>
    <w:rsid w:val="FFFF38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numPr>
        <w:ilvl w:val="0"/>
        <w:numId w:val="1"/>
      </w:numPr>
      <w:spacing w:before="340" w:after="330" w:line="578" w:lineRule="auto"/>
      <w:jc w:val="both"/>
      <w:outlineLvl w:val="0"/>
    </w:pPr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200" w:firstLineChars="2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Indent"/>
    <w:basedOn w:val="1"/>
    <w:next w:val="3"/>
    <w:qFormat/>
    <w:uiPriority w:val="0"/>
    <w:pPr>
      <w:topLinePunct/>
      <w:autoSpaceDE w:val="0"/>
      <w:autoSpaceDN w:val="0"/>
      <w:spacing w:line="540" w:lineRule="atLeast"/>
      <w:ind w:firstLine="600"/>
    </w:pPr>
    <w:rPr>
      <w:rFonts w:ascii="华康简标题宋" w:hAnsi="华康简标题宋"/>
      <w:sz w:val="30"/>
    </w:rPr>
  </w:style>
  <w:style w:type="paragraph" w:styleId="7">
    <w:name w:val="footer"/>
    <w:basedOn w:val="1"/>
    <w:qFormat/>
    <w:uiPriority w:val="0"/>
    <w:pPr>
      <w:tabs>
        <w:tab w:val="center" w:leader="hyphen" w:pos="4153"/>
        <w:tab w:val="right" w:pos="8306"/>
      </w:tabs>
      <w:snapToGrid w:val="0"/>
      <w:jc w:val="right"/>
    </w:pPr>
    <w:rPr>
      <w:sz w:val="2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  <w:rPr>
      <w:rFonts w:ascii="Times New Roman" w:hAnsi="Times New Roman" w:eastAsia="仿宋_GB2312"/>
      <w:sz w:val="28"/>
      <w:lang w:eastAsia="zh-CN"/>
    </w:rPr>
  </w:style>
  <w:style w:type="character" w:styleId="13">
    <w:name w:val="annotation reference"/>
    <w:qFormat/>
    <w:uiPriority w:val="0"/>
    <w:rPr>
      <w:sz w:val="21"/>
      <w:szCs w:val="21"/>
    </w:rPr>
  </w:style>
  <w:style w:type="paragraph" w:customStyle="1" w:styleId="14">
    <w:name w:val="样式5"/>
    <w:basedOn w:val="1"/>
    <w:next w:val="1"/>
    <w:qFormat/>
    <w:uiPriority w:val="0"/>
    <w:rPr>
      <w:rFonts w:ascii="Times New Roman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dfa379-c9c6-4c6d-a5c3-e9f2b3f74b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4797</Words>
  <Characters>4861</Characters>
  <Lines>0</Lines>
  <Paragraphs>0</Paragraphs>
  <TotalTime>297</TotalTime>
  <ScaleCrop>false</ScaleCrop>
  <LinksUpToDate>false</LinksUpToDate>
  <CharactersWithSpaces>4888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2025-11-11T00:41:00Z</dcterms:created>
  <dc:creator>uosxxx</dc:creator>
  <cp:lastModifiedBy> </cp:lastModifiedBy>
  <cp:lastPrinted>2026-08-06T08:09:26Z</cp:lastPrinted>
  <dcterms:modified xsi:type="dcterms:W3CDTF">2026-08-06T09:18:07Z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5F9524DC373A4155BB5A4B3879DC1492</vt:lpwstr>
  </property>
  <property fmtid="{D5CDD505-2E9C-101B-9397-08002B2CF9AE}" pid="4" name="KSOTemplateDocerSaveRecord">
    <vt:lpwstr>eyJoZGlkIjoiZWRmYzhlYjg1OWMzY2U1ODNlNGQyODRkOGQyZjgwOTAiLCJ1c2VySWQiOiIxMTExMTUxMyJ9</vt:lpwstr>
  </property>
</Properties>
</file>