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79988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202263A">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hint="eastAsia" w:ascii="黑体" w:hAnsi="黑体" w:eastAsia="黑体" w:cs="黑体"/>
                <w:sz w:val="21"/>
                <w:szCs w:val="21"/>
              </w:rPr>
              <w:t>ICS</w:t>
            </w:r>
            <w:r>
              <w:rPr>
                <w:rFonts w:ascii="黑体" w:hAnsi="黑体" w:eastAsia="黑体"/>
                <w:sz w:val="21"/>
                <w:szCs w:val="21"/>
              </w:rPr>
              <w:t xml:space="preserve">  </w:t>
            </w:r>
          </w:p>
        </w:tc>
        <w:tc>
          <w:tcPr>
            <w:tcW w:w="8855" w:type="dxa"/>
          </w:tcPr>
          <w:p w14:paraId="378161FA">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03.080.99</w:t>
            </w:r>
            <w:r>
              <w:rPr>
                <w:rFonts w:ascii="黑体" w:hAnsi="黑体" w:eastAsia="黑体"/>
                <w:sz w:val="21"/>
                <w:szCs w:val="21"/>
              </w:rPr>
              <w:fldChar w:fldCharType="end"/>
            </w:r>
            <w:bookmarkEnd w:id="0"/>
          </w:p>
        </w:tc>
      </w:tr>
      <w:tr w14:paraId="075F2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B266D95">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hint="eastAsia" w:ascii="黑体" w:hAnsi="黑体" w:eastAsia="黑体" w:cs="黑体"/>
                <w:sz w:val="21"/>
                <w:szCs w:val="21"/>
              </w:rPr>
              <w:t>CCS</w:t>
            </w:r>
            <w:r>
              <w:rPr>
                <w:rFonts w:eastAsia="黑体"/>
                <w:sz w:val="21"/>
                <w:szCs w:val="21"/>
              </w:rPr>
              <w:t xml:space="preserve"> </w:t>
            </w:r>
            <w:r>
              <w:rPr>
                <w:rFonts w:ascii="黑体" w:hAnsi="黑体" w:eastAsia="黑体"/>
                <w:sz w:val="21"/>
                <w:szCs w:val="21"/>
              </w:rPr>
              <w:t xml:space="preserve"> </w:t>
            </w:r>
          </w:p>
        </w:tc>
        <w:tc>
          <w:tcPr>
            <w:tcW w:w="8855" w:type="dxa"/>
          </w:tcPr>
          <w:p w14:paraId="3C46E8D6">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 12</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2E6CE3F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69A9B40A">
            <w:pPr>
              <w:pStyle w:val="50"/>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4419</w:t>
            </w:r>
            <w:r>
              <w:fldChar w:fldCharType="end"/>
            </w:r>
            <w:bookmarkEnd w:id="3"/>
          </w:p>
        </w:tc>
      </w:tr>
    </w:tbl>
    <w:p w14:paraId="22731A28">
      <w:pPr>
        <w:pStyle w:val="51"/>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东莞市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34BF41AE">
      <w:pPr>
        <w:pStyle w:val="196"/>
        <w:rPr>
          <w:lang w:val="fr-FR"/>
        </w:rPr>
      </w:pPr>
      <w:r>
        <w:rPr>
          <w:rFonts w:hint="eastAsia" w:hAnsi="黑体" w:cs="黑体"/>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4419</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28477F30">
      <w:pPr>
        <w:pStyle w:val="197"/>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59E71925">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1BC8FF0">
      <w:pPr>
        <w:pStyle w:val="51"/>
        <w:framePr w:w="9639" w:h="6976" w:hRule="exact" w:hSpace="0" w:vSpace="0" w:wrap="around" w:hAnchor="page" w:y="6408"/>
        <w:jc w:val="center"/>
        <w:rPr>
          <w:rFonts w:hint="eastAsia" w:ascii="黑体" w:hAnsi="黑体" w:eastAsia="黑体"/>
          <w:b w:val="0"/>
          <w:bCs w:val="0"/>
          <w:w w:val="100"/>
        </w:rPr>
      </w:pPr>
    </w:p>
    <w:p w14:paraId="09EAA875">
      <w:pPr>
        <w:pStyle w:val="198"/>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认知障碍老年人社区照护服务规范</w:t>
      </w:r>
      <w:r>
        <w:fldChar w:fldCharType="end"/>
      </w:r>
      <w:bookmarkEnd w:id="9"/>
    </w:p>
    <w:p w14:paraId="0A4D41CF">
      <w:pPr>
        <w:framePr w:w="9639" w:h="6974" w:hRule="exact" w:wrap="around" w:vAnchor="page" w:hAnchor="page" w:x="1419" w:y="6408" w:anchorLock="1"/>
        <w:ind w:left="-1418"/>
      </w:pPr>
    </w:p>
    <w:p w14:paraId="50E2699B">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Specification of community care services for the elderly with cognitive impairment</w:t>
      </w:r>
      <w:r>
        <w:rPr>
          <w:rFonts w:eastAsia="黑体"/>
          <w:szCs w:val="28"/>
        </w:rPr>
        <w:fldChar w:fldCharType="end"/>
      </w:r>
      <w:bookmarkEnd w:id="10"/>
    </w:p>
    <w:p w14:paraId="18FA3D1F">
      <w:pPr>
        <w:framePr w:w="9639" w:h="6974" w:hRule="exact" w:wrap="around" w:vAnchor="page" w:hAnchor="page" w:x="1419" w:y="6408" w:anchorLock="1"/>
        <w:spacing w:line="760" w:lineRule="exact"/>
        <w:ind w:left="-1418"/>
      </w:pPr>
    </w:p>
    <w:p w14:paraId="5307919F">
      <w:pPr>
        <w:pStyle w:val="126"/>
        <w:framePr w:w="9639" w:h="6974" w:hRule="exact" w:wrap="around" w:vAnchor="page" w:hAnchor="page" w:x="1419" w:y="6408" w:anchorLock="1"/>
        <w:textAlignment w:val="bottom"/>
        <w:rPr>
          <w:rFonts w:eastAsia="黑体"/>
          <w:szCs w:val="28"/>
        </w:rPr>
      </w:pPr>
    </w:p>
    <w:p w14:paraId="646A65EA">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60D4A416">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58A7D747">
      <w:pPr>
        <w:pStyle w:val="126"/>
        <w:framePr w:w="9639" w:h="6974" w:hRule="exact" w:wrap="around" w:vAnchor="page" w:hAnchor="page" w:x="1419" w:y="6408" w:anchorLock="1"/>
        <w:spacing w:before="720" w:beforeLines="300" w:after="72" w:afterLines="30" w:line="240" w:lineRule="auto"/>
        <w:textAlignment w:val="bottom"/>
        <w:rPr>
          <w:b/>
          <w:sz w:val="21"/>
          <w:szCs w:val="28"/>
        </w:rPr>
      </w:pPr>
    </w:p>
    <w:p w14:paraId="39FA9F3A">
      <w:pPr>
        <w:pStyle w:val="194"/>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5EBB4524">
      <w:pPr>
        <w:pStyle w:val="195"/>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51586472">
      <w:pPr>
        <w:pStyle w:val="152"/>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fldChar w:fldCharType="separate"/>
      </w:r>
      <w:r>
        <w:rPr>
          <w:rFonts w:hint="eastAsia" w:hAnsi="黑体"/>
          <w:w w:val="100"/>
          <w:sz w:val="28"/>
        </w:rPr>
        <w:t>东莞市市场监督管理局</w:t>
      </w:r>
      <w:r>
        <w:rPr>
          <w:rFonts w:hAnsi="黑体"/>
          <w:w w:val="100"/>
          <w:sz w:val="28"/>
        </w:rPr>
        <w:fldChar w:fldCharType="end"/>
      </w:r>
      <w:bookmarkEnd w:id="19"/>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641A8F36">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5DE216E">
      <w:pPr>
        <w:pStyle w:val="90"/>
        <w:spacing w:after="468"/>
      </w:pPr>
      <w:bookmarkStart w:id="20" w:name="BookMark2"/>
      <w:r>
        <w:rPr>
          <w:rFonts w:hint="eastAsia"/>
          <w:spacing w:val="320"/>
        </w:rPr>
        <w:t>前</w:t>
      </w:r>
      <w:r>
        <w:rPr>
          <w:rFonts w:hint="eastAsia"/>
        </w:rPr>
        <w:t>言</w:t>
      </w:r>
    </w:p>
    <w:p w14:paraId="55B53ABF">
      <w:pPr>
        <w:pStyle w:val="57"/>
        <w:ind w:firstLine="420"/>
        <w:rPr>
          <w:rFonts w:hint="eastAsia" w:ascii="宋体" w:hAnsi="宋体" w:cs="宋体"/>
        </w:rPr>
      </w:pPr>
      <w:r>
        <w:rPr>
          <w:rFonts w:hint="eastAsia" w:ascii="宋体" w:hAnsi="宋体" w:cs="宋体"/>
        </w:rPr>
        <w:t>本文件按照GB/T 1.1—2020《标准化工作导则  第1部分：标准化文件的结构和起草规则》的规定起草。</w:t>
      </w:r>
    </w:p>
    <w:p w14:paraId="249B9DA9">
      <w:pPr>
        <w:pStyle w:val="57"/>
        <w:ind w:firstLine="420"/>
      </w:pPr>
      <w:r>
        <w:rPr>
          <w:rFonts w:hint="eastAsia" w:ascii="宋体" w:hAnsi="宋体" w:cs="宋体"/>
        </w:rPr>
        <w:t>本文件由东莞</w:t>
      </w:r>
      <w:r>
        <w:rPr>
          <w:rFonts w:hint="eastAsia"/>
        </w:rPr>
        <w:t>市医养健康协会提出。</w:t>
      </w:r>
    </w:p>
    <w:p w14:paraId="00FC21EF">
      <w:pPr>
        <w:pStyle w:val="57"/>
        <w:ind w:firstLine="420"/>
      </w:pPr>
      <w:r>
        <w:rPr>
          <w:rFonts w:hint="eastAsia"/>
        </w:rPr>
        <w:t>本文件由东莞市卫生健康局归口。</w:t>
      </w:r>
    </w:p>
    <w:p w14:paraId="63AE7084">
      <w:pPr>
        <w:pStyle w:val="57"/>
        <w:ind w:firstLine="420"/>
      </w:pPr>
      <w:r>
        <w:rPr>
          <w:rFonts w:hint="eastAsia"/>
        </w:rPr>
        <w:t>本文件起草单位：</w:t>
      </w:r>
      <w:r>
        <w:rPr>
          <w:rFonts w:hint="eastAsia" w:ascii="宋体" w:hAnsi="宋体" w:cs="宋体"/>
        </w:rPr>
        <w:t>东莞</w:t>
      </w:r>
      <w:r>
        <w:rPr>
          <w:rFonts w:hint="eastAsia"/>
        </w:rPr>
        <w:t>市医养健康协会、东莞市厚街医院、广东省东莞市质量技术监督标准与编码所等。</w:t>
      </w:r>
    </w:p>
    <w:p w14:paraId="361F559E">
      <w:pPr>
        <w:pStyle w:val="57"/>
        <w:ind w:firstLine="420"/>
      </w:pPr>
      <w:r>
        <w:rPr>
          <w:rFonts w:hint="eastAsia"/>
        </w:rPr>
        <w:t>本文件主要起草人：</w:t>
      </w:r>
    </w:p>
    <w:p w14:paraId="6B244F49">
      <w:pPr>
        <w:pStyle w:val="57"/>
        <w:ind w:firstLine="420"/>
      </w:pPr>
    </w:p>
    <w:p w14:paraId="59092ACB">
      <w:pPr>
        <w:pStyle w:val="57"/>
        <w:ind w:firstLine="42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p>
    <w:bookmarkEnd w:id="20"/>
    <w:p w14:paraId="5B4AB040">
      <w:pPr>
        <w:spacing w:line="20" w:lineRule="exact"/>
        <w:jc w:val="center"/>
        <w:rPr>
          <w:rFonts w:hint="eastAsia" w:ascii="黑体" w:hAnsi="黑体" w:eastAsia="黑体"/>
          <w:sz w:val="32"/>
          <w:szCs w:val="32"/>
        </w:rPr>
      </w:pPr>
      <w:bookmarkStart w:id="21" w:name="BookMark4"/>
    </w:p>
    <w:p w14:paraId="5B587937">
      <w:pPr>
        <w:spacing w:line="20" w:lineRule="exact"/>
        <w:jc w:val="center"/>
        <w:rPr>
          <w:rFonts w:hint="eastAsia" w:ascii="黑体" w:hAnsi="黑体" w:eastAsia="黑体"/>
          <w:sz w:val="32"/>
          <w:szCs w:val="32"/>
        </w:rPr>
      </w:pPr>
    </w:p>
    <w:sdt>
      <w:sdtPr>
        <w:tag w:val="NEW_STAND_NAME"/>
        <w:id w:val="595910757"/>
        <w:lock w:val="sdtLocked"/>
        <w:placeholder>
          <w:docPart w:val="44A38090058141E5BCF867FEE79180DC"/>
        </w:placeholder>
      </w:sdtPr>
      <w:sdtContent>
        <w:p w14:paraId="6C2F1762">
          <w:pPr>
            <w:pStyle w:val="178"/>
            <w:bidi w:val="0"/>
            <w:spacing w:before="4" w:beforeLines="1" w:after="687" w:afterLines="220"/>
            <w:rPr>
              <w:rFonts w:hint="eastAsia"/>
            </w:rPr>
          </w:pPr>
          <w:bookmarkStart w:id="22" w:name="NEW_STAND_NAME"/>
          <w:r>
            <w:rPr>
              <w:rFonts w:hint="eastAsia"/>
              <w:lang w:eastAsia="zh-CN"/>
            </w:rPr>
            <w:t>认知障碍老年人社区照护服务规范</w:t>
          </w:r>
        </w:p>
      </w:sdtContent>
    </w:sdt>
    <w:bookmarkEnd w:id="22"/>
    <w:p w14:paraId="65A0F3B9">
      <w:pPr>
        <w:pStyle w:val="105"/>
        <w:spacing w:before="312" w:after="312"/>
      </w:pPr>
      <w:bookmarkStart w:id="23" w:name="_Toc26718930"/>
      <w:bookmarkStart w:id="24" w:name="_Toc24884218"/>
      <w:bookmarkStart w:id="25" w:name="_Toc26986530"/>
      <w:bookmarkStart w:id="26" w:name="_Toc26648465"/>
      <w:bookmarkStart w:id="27" w:name="_Toc26986771"/>
      <w:bookmarkStart w:id="28" w:name="_Toc24884211"/>
      <w:bookmarkStart w:id="29" w:name="_Toc17233325"/>
      <w:bookmarkStart w:id="30" w:name="_Toc97191423"/>
      <w:bookmarkStart w:id="31" w:name="_Toc17233333"/>
      <w:r>
        <w:rPr>
          <w:rFonts w:hint="eastAsia"/>
        </w:rPr>
        <w:t>范围</w:t>
      </w:r>
      <w:bookmarkEnd w:id="23"/>
      <w:bookmarkEnd w:id="24"/>
      <w:bookmarkEnd w:id="25"/>
      <w:bookmarkEnd w:id="26"/>
      <w:bookmarkEnd w:id="27"/>
      <w:bookmarkEnd w:id="28"/>
      <w:bookmarkEnd w:id="29"/>
      <w:bookmarkEnd w:id="30"/>
      <w:bookmarkEnd w:id="31"/>
    </w:p>
    <w:p w14:paraId="6AB2FA6A">
      <w:pPr>
        <w:pStyle w:val="57"/>
        <w:ind w:firstLine="420"/>
      </w:pPr>
      <w:bookmarkStart w:id="32" w:name="_Toc24884219"/>
      <w:bookmarkStart w:id="33" w:name="_Toc26648466"/>
      <w:bookmarkStart w:id="34" w:name="_Toc17233326"/>
      <w:bookmarkStart w:id="35" w:name="_Toc24884212"/>
      <w:bookmarkStart w:id="36" w:name="_Toc17233334"/>
      <w:r>
        <w:rPr>
          <w:rFonts w:hint="eastAsia"/>
        </w:rPr>
        <w:t>本文件规定了认知障碍</w:t>
      </w:r>
      <w:r>
        <w:rPr>
          <w:rFonts w:hint="eastAsia"/>
          <w:lang w:eastAsia="zh-CN"/>
        </w:rPr>
        <w:t>老年人</w:t>
      </w:r>
      <w:r>
        <w:rPr>
          <w:rFonts w:hint="eastAsia"/>
        </w:rPr>
        <w:t>社区照护服务的基本要求、服务流程、服务内容、服务评价与改进。</w:t>
      </w:r>
    </w:p>
    <w:p w14:paraId="6F3D9829">
      <w:pPr>
        <w:pStyle w:val="57"/>
        <w:ind w:firstLine="420"/>
      </w:pPr>
      <w:r>
        <w:rPr>
          <w:rFonts w:hint="eastAsia"/>
        </w:rPr>
        <w:t>本文件适用于东莞市行政区域内</w:t>
      </w:r>
      <w:r>
        <w:rPr>
          <w:rFonts w:hint="eastAsia"/>
          <w:lang w:val="en-US" w:eastAsia="zh-CN"/>
        </w:rPr>
        <w:t>各类依托社区资源</w:t>
      </w:r>
      <w:r>
        <w:rPr>
          <w:rFonts w:hint="eastAsia"/>
        </w:rPr>
        <w:t>为认知障碍</w:t>
      </w:r>
      <w:r>
        <w:rPr>
          <w:rFonts w:hint="eastAsia"/>
          <w:lang w:eastAsia="zh-CN"/>
        </w:rPr>
        <w:t>老年人</w:t>
      </w:r>
      <w:r>
        <w:rPr>
          <w:rFonts w:hint="eastAsia"/>
        </w:rPr>
        <w:t>提供居家和社区照护服务的机构。</w:t>
      </w:r>
    </w:p>
    <w:p w14:paraId="29034D10">
      <w:pPr>
        <w:pStyle w:val="105"/>
        <w:spacing w:before="312" w:after="312"/>
      </w:pPr>
      <w:bookmarkStart w:id="37" w:name="_Toc26986772"/>
      <w:bookmarkStart w:id="38" w:name="_Toc26986531"/>
      <w:bookmarkStart w:id="39" w:name="_Toc97191424"/>
      <w:bookmarkStart w:id="40" w:name="_Toc26718931"/>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id w:val="715848253"/>
        <w:placeholder>
          <w:docPart w:val="83ACEA082902419DAEC754314F0D250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EB03580">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3EBC528">
      <w:pPr>
        <w:pStyle w:val="57"/>
        <w:ind w:firstLine="420"/>
        <w:rPr>
          <w:rFonts w:hint="eastAsia" w:ascii="宋体" w:hAnsi="宋体" w:cs="宋体"/>
          <w:color w:val="auto"/>
        </w:rPr>
      </w:pPr>
      <w:r>
        <w:rPr>
          <w:rFonts w:hint="eastAsia" w:ascii="宋体" w:hAnsi="宋体" w:cs="宋体"/>
          <w:color w:val="auto"/>
        </w:rPr>
        <w:t>GB/T 44714  养老机构  认知障碍友好环境设置导则</w:t>
      </w:r>
    </w:p>
    <w:p w14:paraId="314998C6">
      <w:pPr>
        <w:pStyle w:val="57"/>
        <w:ind w:firstLine="420"/>
        <w:rPr>
          <w:rFonts w:hint="default" w:ascii="宋体" w:hAnsi="宋体" w:eastAsia="宋体" w:cs="宋体"/>
          <w:color w:val="auto"/>
          <w:lang w:val="en-US" w:eastAsia="zh-CN"/>
        </w:rPr>
      </w:pPr>
      <w:r>
        <w:rPr>
          <w:rFonts w:hint="eastAsia" w:ascii="宋体" w:hAnsi="宋体" w:cs="宋体"/>
          <w:color w:val="auto"/>
          <w:lang w:val="en-US" w:eastAsia="zh-CN"/>
        </w:rPr>
        <w:t>GB/T 46401  养老机构认知障碍老年人照护指南</w:t>
      </w:r>
    </w:p>
    <w:p w14:paraId="190D0616">
      <w:pPr>
        <w:pStyle w:val="57"/>
        <w:ind w:firstLine="420"/>
        <w:rPr>
          <w:rFonts w:hint="default" w:ascii="宋体" w:hAnsi="宋体" w:cs="宋体"/>
          <w:color w:val="auto"/>
          <w:lang w:val="en-US" w:eastAsia="zh-CN"/>
        </w:rPr>
      </w:pPr>
      <w:r>
        <w:rPr>
          <w:rFonts w:hint="eastAsia" w:ascii="宋体" w:hAnsi="宋体" w:cs="宋体"/>
          <w:color w:val="auto"/>
          <w:lang w:val="en-US" w:eastAsia="zh-CN"/>
        </w:rPr>
        <w:t>JGJ 484  养老服务智能化系统技术标准</w:t>
      </w:r>
    </w:p>
    <w:p w14:paraId="0338E72C">
      <w:pPr>
        <w:pStyle w:val="57"/>
        <w:ind w:firstLine="420"/>
        <w:rPr>
          <w:rFonts w:hint="default" w:ascii="宋体" w:hAnsi="宋体" w:cs="宋体"/>
          <w:color w:val="auto"/>
          <w:lang w:val="en-US" w:eastAsia="zh-CN"/>
        </w:rPr>
      </w:pPr>
      <w:r>
        <w:rPr>
          <w:rFonts w:hint="eastAsia" w:ascii="宋体" w:hAnsi="宋体" w:cs="宋体"/>
          <w:color w:val="auto"/>
          <w:lang w:val="en-US" w:eastAsia="zh-CN"/>
        </w:rPr>
        <w:t>JGJ 450  老年人照料设施建筑设计标准</w:t>
      </w:r>
    </w:p>
    <w:p w14:paraId="00E1B548">
      <w:pPr>
        <w:pStyle w:val="57"/>
        <w:ind w:firstLine="420"/>
        <w:rPr>
          <w:rFonts w:ascii="宋体" w:hAnsi="宋体" w:cs="宋体"/>
          <w:color w:val="auto"/>
        </w:rPr>
      </w:pPr>
      <w:r>
        <w:rPr>
          <w:rFonts w:ascii="宋体" w:hAnsi="宋体" w:cs="宋体"/>
          <w:color w:val="auto"/>
        </w:rPr>
        <w:t>MZ/T 218</w:t>
      </w:r>
      <w:r>
        <w:rPr>
          <w:rFonts w:hint="eastAsia" w:ascii="宋体" w:hAnsi="宋体" w:cs="宋体"/>
          <w:color w:val="auto"/>
        </w:rPr>
        <w:t xml:space="preserve">  </w:t>
      </w:r>
      <w:r>
        <w:rPr>
          <w:rFonts w:ascii="宋体" w:hAnsi="宋体" w:cs="宋体"/>
          <w:color w:val="auto"/>
        </w:rPr>
        <w:t>老年人居家环境适老化改造通用要求</w:t>
      </w:r>
    </w:p>
    <w:p w14:paraId="0247ED0F">
      <w:pPr>
        <w:pStyle w:val="57"/>
        <w:ind w:firstLine="420"/>
        <w:rPr>
          <w:color w:val="auto"/>
        </w:rPr>
      </w:pPr>
      <w:r>
        <w:rPr>
          <w:rFonts w:hint="eastAsia" w:ascii="宋体" w:hAnsi="宋体" w:cs="宋体"/>
          <w:color w:val="auto"/>
        </w:rPr>
        <w:t>DB44/T 2232  养老机构认知症老人照顾指南</w:t>
      </w:r>
    </w:p>
    <w:p w14:paraId="580FF396">
      <w:pPr>
        <w:pStyle w:val="105"/>
        <w:spacing w:before="312" w:after="312"/>
      </w:pPr>
      <w:bookmarkStart w:id="41" w:name="_Toc97191425"/>
      <w:r>
        <w:rPr>
          <w:rFonts w:hint="eastAsia"/>
          <w:szCs w:val="21"/>
        </w:rPr>
        <w:t>术语和定义</w:t>
      </w:r>
      <w:bookmarkEnd w:id="41"/>
    </w:p>
    <w:sdt>
      <w:sdtPr>
        <w:id w:val="-1909835108"/>
        <w:placeholder>
          <w:docPart w:val="1300A4C75D794D6291D16A5282D6F457"/>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700A658">
          <w:pPr>
            <w:pStyle w:val="57"/>
            <w:ind w:firstLine="420"/>
          </w:pPr>
          <w:bookmarkStart w:id="42" w:name="_Toc26986532"/>
          <w:bookmarkEnd w:id="42"/>
          <w:r>
            <w:t>下列术语和定义适用于本文件。</w:t>
          </w:r>
        </w:p>
      </w:sdtContent>
    </w:sdt>
    <w:p w14:paraId="6EFA6A8A">
      <w:pPr>
        <w:pStyle w:val="224"/>
        <w:ind w:left="420" w:hanging="420" w:hangingChars="200"/>
        <w:rPr>
          <w:rFonts w:hint="eastAsia" w:ascii="黑体" w:hAnsi="黑体" w:eastAsia="黑体" w:cs="宋体"/>
          <w:bCs/>
          <w:szCs w:val="21"/>
        </w:rPr>
      </w:pPr>
      <w:r>
        <w:rPr>
          <w:rFonts w:hint="eastAsia" w:ascii="黑体" w:hAnsi="黑体" w:eastAsia="黑体" w:cs="黑体"/>
          <w:bCs/>
          <w:szCs w:val="21"/>
        </w:rPr>
        <w:br w:type="textWrapping"/>
      </w:r>
      <w:r>
        <w:rPr>
          <w:rFonts w:hint="eastAsia" w:ascii="黑体" w:hAnsi="黑体" w:eastAsia="黑体" w:cs="宋体"/>
          <w:bCs/>
          <w:szCs w:val="21"/>
        </w:rPr>
        <w:t>认知障碍  cognitive impairment</w:t>
      </w:r>
    </w:p>
    <w:p w14:paraId="17D6119E">
      <w:pPr>
        <w:pStyle w:val="57"/>
        <w:ind w:firstLine="420"/>
      </w:pPr>
      <w:r>
        <w:rPr>
          <w:rFonts w:hint="eastAsia"/>
          <w:lang w:eastAsia="zh-CN"/>
        </w:rPr>
        <w:t>一个或多个认知领域受到损害或出现功能下降。</w:t>
      </w:r>
    </w:p>
    <w:p w14:paraId="0A6E9A04">
      <w:pPr>
        <w:pStyle w:val="180"/>
      </w:pPr>
      <w:r>
        <w:rPr>
          <w:rFonts w:hint="eastAsia"/>
        </w:rPr>
        <w:t>认知症引起的认知功能损害涉及记忆、学习、定向力、计算、语言、视空间功能、分析及解决问题等能力，在病程某一阶段常伴有精神、行为和人格异常。</w:t>
      </w:r>
    </w:p>
    <w:p w14:paraId="4239BD95">
      <w:pPr>
        <w:pStyle w:val="57"/>
        <w:bidi w:val="0"/>
        <w:rPr>
          <w:rFonts w:hint="eastAsia" w:eastAsia="宋体"/>
          <w:lang w:eastAsia="zh-CN"/>
        </w:rPr>
      </w:pPr>
      <w:r>
        <w:rPr>
          <w:rFonts w:hint="eastAsia"/>
          <w:lang w:eastAsia="zh-CN"/>
        </w:rPr>
        <w:t>[</w:t>
      </w:r>
      <w:r>
        <w:rPr>
          <w:rFonts w:hint="eastAsia" w:ascii="宋体" w:hAnsi="宋体" w:eastAsia="宋体" w:cs="宋体"/>
          <w:lang w:eastAsia="zh-CN"/>
        </w:rPr>
        <w:t>来源：</w:t>
      </w:r>
      <w:r>
        <w:rPr>
          <w:rFonts w:hint="eastAsia" w:ascii="宋体" w:hAnsi="宋体" w:eastAsia="宋体" w:cs="宋体"/>
          <w:lang w:val="en-US" w:eastAsia="zh-CN"/>
        </w:rPr>
        <w:t>GB/T 44714—2024，3.1，有修改</w:t>
      </w:r>
      <w:r>
        <w:rPr>
          <w:rFonts w:hint="eastAsia"/>
          <w:lang w:eastAsia="zh-CN"/>
        </w:rPr>
        <w:t>]</w:t>
      </w:r>
    </w:p>
    <w:p w14:paraId="6F17C1D2">
      <w:pPr>
        <w:pStyle w:val="224"/>
        <w:ind w:left="420" w:hanging="420" w:hangingChars="200"/>
        <w:rPr>
          <w:rFonts w:hint="eastAsia" w:ascii="黑体" w:hAnsi="黑体" w:eastAsia="黑体" w:cs="宋体"/>
          <w:bCs/>
          <w:szCs w:val="21"/>
        </w:rPr>
      </w:pPr>
      <w:r>
        <w:rPr>
          <w:rFonts w:hint="eastAsia" w:ascii="黑体" w:hAnsi="黑体" w:eastAsia="黑体" w:cs="黑体"/>
          <w:bCs/>
          <w:szCs w:val="21"/>
        </w:rPr>
        <w:br w:type="textWrapping"/>
      </w:r>
      <w:r>
        <w:rPr>
          <w:rFonts w:hint="eastAsia" w:ascii="黑体" w:hAnsi="黑体" w:eastAsia="黑体" w:cs="宋体"/>
          <w:bCs/>
          <w:szCs w:val="21"/>
        </w:rPr>
        <w:t xml:space="preserve">社区照护服务  </w:t>
      </w:r>
      <w:r>
        <w:rPr>
          <w:rFonts w:ascii="黑体" w:hAnsi="黑体" w:eastAsia="黑体" w:cs="宋体"/>
          <w:bCs/>
          <w:szCs w:val="21"/>
        </w:rPr>
        <w:t>community care services</w:t>
      </w:r>
    </w:p>
    <w:p w14:paraId="7D738C59">
      <w:pPr>
        <w:pStyle w:val="57"/>
        <w:ind w:firstLine="420"/>
        <w:rPr>
          <w:rFonts w:hint="eastAsia"/>
        </w:rPr>
      </w:pPr>
      <w:r>
        <w:rPr>
          <w:rFonts w:hint="eastAsia"/>
        </w:rPr>
        <w:t>以社区为依托，充分利用包括村（社区）卫生服务机构、各类养老机构以及村（社区）公共服务</w:t>
      </w:r>
      <w:r>
        <w:rPr>
          <w:rFonts w:hint="eastAsia"/>
          <w:lang w:val="en-US" w:eastAsia="zh-CN"/>
        </w:rPr>
        <w:t>机构（或设施</w:t>
      </w:r>
      <w:r>
        <w:rPr>
          <w:rFonts w:hint="eastAsia"/>
          <w:lang w:eastAsia="zh-CN"/>
        </w:rPr>
        <w:t>）</w:t>
      </w:r>
      <w:r>
        <w:rPr>
          <w:rFonts w:hint="eastAsia"/>
        </w:rPr>
        <w:t>等在内的社区资源</w:t>
      </w:r>
      <w:r>
        <w:rPr>
          <w:rFonts w:hint="eastAsia"/>
          <w:lang w:eastAsia="zh-CN"/>
        </w:rPr>
        <w:t>，</w:t>
      </w:r>
      <w:r>
        <w:rPr>
          <w:rFonts w:hint="eastAsia"/>
        </w:rPr>
        <w:t>为</w:t>
      </w:r>
      <w:r>
        <w:rPr>
          <w:rFonts w:hint="eastAsia"/>
          <w:lang w:val="en-US" w:eastAsia="zh-CN"/>
        </w:rPr>
        <w:t>社区或周边的</w:t>
      </w:r>
      <w:r>
        <w:rPr>
          <w:rFonts w:hint="eastAsia"/>
        </w:rPr>
        <w:t>认知障碍</w:t>
      </w:r>
      <w:r>
        <w:rPr>
          <w:rFonts w:hint="eastAsia"/>
          <w:lang w:eastAsia="zh-CN"/>
        </w:rPr>
        <w:t>老年人</w:t>
      </w:r>
      <w:r>
        <w:rPr>
          <w:rFonts w:hint="eastAsia"/>
        </w:rPr>
        <w:t>提供的生活照料、康复护理、精神慰藉、医疗支持、社会支持等服务。</w:t>
      </w:r>
    </w:p>
    <w:p w14:paraId="370DD9AA">
      <w:pPr>
        <w:pStyle w:val="224"/>
        <w:ind w:left="420" w:hanging="420" w:hangingChars="200"/>
        <w:rPr>
          <w:rFonts w:hint="eastAsia" w:ascii="黑体" w:hAnsi="黑体" w:eastAsia="黑体" w:cs="宋体"/>
          <w:bCs/>
          <w:szCs w:val="21"/>
        </w:rPr>
      </w:pPr>
      <w:r>
        <w:rPr>
          <w:rFonts w:hint="eastAsia" w:ascii="黑体" w:hAnsi="黑体" w:eastAsia="黑体" w:cs="黑体"/>
          <w:bCs/>
          <w:szCs w:val="21"/>
        </w:rPr>
        <w:br w:type="textWrapping"/>
      </w:r>
      <w:r>
        <w:rPr>
          <w:rFonts w:hint="eastAsia" w:ascii="黑体" w:hAnsi="黑体" w:eastAsia="黑体" w:cs="宋体"/>
          <w:bCs/>
          <w:szCs w:val="21"/>
        </w:rPr>
        <w:t xml:space="preserve">个性化照护方案  </w:t>
      </w:r>
      <w:r>
        <w:rPr>
          <w:rFonts w:hint="eastAsia" w:ascii="黑体" w:hAnsi="黑体" w:eastAsia="黑体" w:cs="宋体"/>
          <w:bCs/>
          <w:szCs w:val="21"/>
          <w:lang w:val="en-US" w:eastAsia="zh-CN"/>
        </w:rPr>
        <w:t>i</w:t>
      </w:r>
      <w:r>
        <w:rPr>
          <w:rFonts w:hint="eastAsia" w:ascii="黑体" w:hAnsi="黑体" w:eastAsia="黑体" w:cs="宋体"/>
          <w:bCs/>
          <w:szCs w:val="21"/>
        </w:rPr>
        <w:t xml:space="preserve">ndividualized </w:t>
      </w:r>
      <w:r>
        <w:rPr>
          <w:rFonts w:hint="eastAsia" w:ascii="黑体" w:hAnsi="黑体" w:eastAsia="黑体" w:cs="宋体"/>
          <w:bCs/>
          <w:szCs w:val="21"/>
          <w:lang w:val="en-US" w:eastAsia="zh-CN"/>
        </w:rPr>
        <w:t>c</w:t>
      </w:r>
      <w:r>
        <w:rPr>
          <w:rFonts w:hint="eastAsia" w:ascii="黑体" w:hAnsi="黑体" w:eastAsia="黑体" w:cs="宋体"/>
          <w:bCs/>
          <w:szCs w:val="21"/>
        </w:rPr>
        <w:t xml:space="preserve">are </w:t>
      </w:r>
      <w:r>
        <w:rPr>
          <w:rFonts w:hint="eastAsia" w:ascii="黑体" w:hAnsi="黑体" w:eastAsia="黑体" w:cs="宋体"/>
          <w:bCs/>
          <w:szCs w:val="21"/>
          <w:lang w:val="en-US" w:eastAsia="zh-CN"/>
        </w:rPr>
        <w:t>p</w:t>
      </w:r>
      <w:r>
        <w:rPr>
          <w:rFonts w:hint="eastAsia" w:ascii="黑体" w:hAnsi="黑体" w:eastAsia="黑体" w:cs="宋体"/>
          <w:bCs/>
          <w:szCs w:val="21"/>
        </w:rPr>
        <w:t>lan</w:t>
      </w:r>
    </w:p>
    <w:p w14:paraId="4A9A7A1E">
      <w:pPr>
        <w:pStyle w:val="57"/>
        <w:ind w:firstLine="420"/>
        <w:rPr>
          <w:rFonts w:hint="eastAsia"/>
        </w:rPr>
      </w:pPr>
      <w:r>
        <w:rPr>
          <w:rFonts w:hint="eastAsia"/>
        </w:rPr>
        <w:t>根据个体的具体需求、健康状况、生活方式、文化背景等因素，量身定制的照护方案。其核心是以个体为中心，通过全面评估和动态调整，提供最适合的医疗、护理、康复及社会支持服务。</w:t>
      </w:r>
    </w:p>
    <w:p w14:paraId="54DC244C">
      <w:pPr>
        <w:pStyle w:val="105"/>
        <w:spacing w:before="312" w:after="312"/>
      </w:pPr>
      <w:bookmarkStart w:id="43" w:name="_Toc12556"/>
      <w:bookmarkStart w:id="44" w:name="_Toc22128"/>
      <w:r>
        <w:rPr>
          <w:rFonts w:hint="eastAsia"/>
        </w:rPr>
        <w:t>基本要求</w:t>
      </w:r>
      <w:bookmarkEnd w:id="43"/>
      <w:bookmarkEnd w:id="44"/>
    </w:p>
    <w:p w14:paraId="4B97D053">
      <w:pPr>
        <w:pStyle w:val="106"/>
        <w:spacing w:before="156" w:after="156"/>
      </w:pPr>
      <w:r>
        <w:rPr>
          <w:rFonts w:hint="eastAsia"/>
        </w:rPr>
        <w:t>机构要求</w:t>
      </w:r>
    </w:p>
    <w:p w14:paraId="3B0B0E99">
      <w:pPr>
        <w:pStyle w:val="166"/>
        <w:bidi w:val="0"/>
        <w:rPr>
          <w:rFonts w:hint="eastAsia"/>
          <w:lang w:eastAsia="zh-CN"/>
        </w:rPr>
      </w:pPr>
      <w:r>
        <w:rPr>
          <w:rFonts w:hint="eastAsia"/>
          <w:lang w:val="en-US" w:eastAsia="zh-CN"/>
        </w:rPr>
        <w:t>社区照护服务</w:t>
      </w:r>
      <w:r>
        <w:rPr>
          <w:rFonts w:hint="eastAsia"/>
          <w:lang w:eastAsia="zh-CN"/>
        </w:rPr>
        <w:t>机构（</w:t>
      </w:r>
      <w:r>
        <w:rPr>
          <w:rFonts w:hint="eastAsia"/>
          <w:lang w:val="en-US" w:eastAsia="zh-CN"/>
        </w:rPr>
        <w:t>包括医疗机构、养老机构、日间照料中心、养老服务设施站点及专业社会组织等</w:t>
      </w:r>
      <w:r>
        <w:rPr>
          <w:rFonts w:hint="eastAsia"/>
          <w:lang w:eastAsia="zh-CN"/>
        </w:rPr>
        <w:t>）应具备</w:t>
      </w:r>
      <w:r>
        <w:rPr>
          <w:rFonts w:hint="eastAsia"/>
          <w:lang w:val="en-US" w:eastAsia="zh-CN"/>
        </w:rPr>
        <w:t>与提供服务相适应的</w:t>
      </w:r>
      <w:r>
        <w:rPr>
          <w:rFonts w:hint="eastAsia"/>
          <w:lang w:eastAsia="zh-CN"/>
        </w:rPr>
        <w:t>资质</w:t>
      </w:r>
      <w:r>
        <w:rPr>
          <w:rFonts w:hint="eastAsia"/>
          <w:lang w:val="en-US" w:eastAsia="zh-CN"/>
        </w:rPr>
        <w:t>与能力</w:t>
      </w:r>
      <w:r>
        <w:rPr>
          <w:rFonts w:hint="eastAsia"/>
          <w:lang w:eastAsia="zh-CN"/>
        </w:rPr>
        <w:t>。</w:t>
      </w:r>
    </w:p>
    <w:p w14:paraId="0E7E3E87">
      <w:pPr>
        <w:pStyle w:val="166"/>
        <w:bidi w:val="0"/>
        <w:rPr>
          <w:rFonts w:hint="default"/>
          <w:lang w:val="en-US" w:eastAsia="zh-CN"/>
        </w:rPr>
      </w:pPr>
      <w:r>
        <w:rPr>
          <w:rFonts w:hint="eastAsia"/>
          <w:lang w:val="en-US" w:eastAsia="zh-CN"/>
        </w:rPr>
        <w:t>不具备医疗条件的社区照护服务机构应与周边医疗卫生机构签订医疗合作协议。</w:t>
      </w:r>
    </w:p>
    <w:p w14:paraId="1C695C17">
      <w:pPr>
        <w:pStyle w:val="106"/>
        <w:spacing w:before="156" w:after="156"/>
      </w:pPr>
      <w:r>
        <w:rPr>
          <w:rFonts w:hint="eastAsia"/>
          <w:lang w:val="en-US" w:eastAsia="zh-CN"/>
        </w:rPr>
        <w:t>环境和设施设备</w:t>
      </w:r>
      <w:r>
        <w:rPr>
          <w:rFonts w:hint="eastAsia"/>
        </w:rPr>
        <w:t>要求</w:t>
      </w:r>
    </w:p>
    <w:p w14:paraId="67409D05">
      <w:pPr>
        <w:pStyle w:val="166"/>
      </w:pPr>
      <w:r>
        <w:rPr>
          <w:rFonts w:hint="eastAsia"/>
          <w:lang w:val="en-US" w:eastAsia="zh-CN"/>
        </w:rPr>
        <w:t>应具有相对独立、固定、专用的服务场所，保证服务活动环境安全、整洁、卫生。</w:t>
      </w:r>
    </w:p>
    <w:p w14:paraId="27BA63F1">
      <w:pPr>
        <w:pStyle w:val="166"/>
      </w:pPr>
      <w:r>
        <w:rPr>
          <w:rFonts w:hint="eastAsia"/>
          <w:lang w:val="en-US" w:eastAsia="zh-CN"/>
        </w:rPr>
        <w:t>服务场所建筑及设施应符合适老化和无障碍设计，应符合JGJ 450的规定。</w:t>
      </w:r>
    </w:p>
    <w:p w14:paraId="05FF9653">
      <w:pPr>
        <w:pStyle w:val="166"/>
      </w:pPr>
      <w:r>
        <w:rPr>
          <w:rFonts w:hint="eastAsia"/>
        </w:rPr>
        <w:t>宜根据认知障碍</w:t>
      </w:r>
      <w:r>
        <w:rPr>
          <w:rFonts w:hint="eastAsia"/>
          <w:lang w:eastAsia="zh-CN"/>
        </w:rPr>
        <w:t>老年人</w:t>
      </w:r>
      <w:r>
        <w:rPr>
          <w:rFonts w:hint="eastAsia"/>
        </w:rPr>
        <w:t>的生理、心理特点和需求，</w:t>
      </w:r>
      <w:r>
        <w:rPr>
          <w:rFonts w:hint="eastAsia"/>
          <w:lang w:eastAsia="zh-CN"/>
        </w:rPr>
        <w:t>按照</w:t>
      </w:r>
      <w:r>
        <w:rPr>
          <w:rFonts w:hint="eastAsia"/>
        </w:rPr>
        <w:t>GB/T 44714的有关要求</w:t>
      </w:r>
      <w:r>
        <w:rPr>
          <w:rFonts w:hint="eastAsia"/>
          <w:lang w:eastAsia="zh-CN"/>
        </w:rPr>
        <w:t>设置</w:t>
      </w:r>
      <w:r>
        <w:rPr>
          <w:rFonts w:hint="eastAsia"/>
        </w:rPr>
        <w:t>社区认知障碍友好环境。</w:t>
      </w:r>
    </w:p>
    <w:p w14:paraId="121CE800">
      <w:pPr>
        <w:pStyle w:val="166"/>
      </w:pPr>
      <w:r>
        <w:rPr>
          <w:rFonts w:hint="eastAsia"/>
          <w:lang w:val="en-US" w:eastAsia="zh-CN"/>
        </w:rPr>
        <w:t>提供集中服务的场所内应设置认知障碍照护专区。</w:t>
      </w:r>
    </w:p>
    <w:p w14:paraId="133A7095">
      <w:pPr>
        <w:pStyle w:val="166"/>
      </w:pPr>
      <w:r>
        <w:rPr>
          <w:rFonts w:hint="eastAsia"/>
        </w:rPr>
        <w:t>宜配备相对独立的认知功能评估及认知训练场所，配备必要的康复锻炼设备</w:t>
      </w:r>
      <w:r>
        <w:rPr>
          <w:rFonts w:hint="eastAsia"/>
          <w:lang w:eastAsia="zh-CN"/>
        </w:rPr>
        <w:t>，有条件的宜配备</w:t>
      </w:r>
      <w:r>
        <w:rPr>
          <w:rFonts w:hint="eastAsia"/>
          <w:lang w:val="en-US" w:eastAsia="zh-CN"/>
        </w:rPr>
        <w:t xml:space="preserve"> 数字化认知康复设施设备。</w:t>
      </w:r>
    </w:p>
    <w:p w14:paraId="0103DF62">
      <w:pPr>
        <w:pStyle w:val="166"/>
      </w:pPr>
      <w:r>
        <w:rPr>
          <w:rFonts w:hint="eastAsia"/>
          <w:lang w:eastAsia="zh-CN"/>
        </w:rPr>
        <w:t>宜配置符合</w:t>
      </w:r>
      <w:r>
        <w:rPr>
          <w:rFonts w:hint="eastAsia"/>
          <w:lang w:val="en-US" w:eastAsia="zh-CN"/>
        </w:rPr>
        <w:t>JGJ/T 484相关要求的智慧安全监管设备。</w:t>
      </w:r>
    </w:p>
    <w:p w14:paraId="62E059D5">
      <w:pPr>
        <w:pStyle w:val="166"/>
      </w:pPr>
      <w:r>
        <w:rPr>
          <w:rFonts w:hint="eastAsia"/>
        </w:rPr>
        <w:t>设施设备要求参照</w:t>
      </w:r>
      <w:r>
        <w:rPr>
          <w:rFonts w:hint="eastAsia"/>
          <w:lang w:val="en-US" w:eastAsia="zh-CN"/>
        </w:rPr>
        <w:t>GB/T 46401、</w:t>
      </w:r>
      <w:r>
        <w:rPr>
          <w:rFonts w:hint="eastAsia"/>
        </w:rPr>
        <w:t>DB44/T 2232</w:t>
      </w:r>
      <w:r>
        <w:rPr>
          <w:rFonts w:hint="eastAsia"/>
          <w:lang w:eastAsia="zh-CN"/>
        </w:rPr>
        <w:t>等</w:t>
      </w:r>
      <w:r>
        <w:rPr>
          <w:rFonts w:hint="eastAsia"/>
        </w:rPr>
        <w:t>的相关规定。</w:t>
      </w:r>
    </w:p>
    <w:p w14:paraId="0F2C88FC">
      <w:pPr>
        <w:pStyle w:val="106"/>
        <w:spacing w:before="156" w:after="156"/>
      </w:pPr>
      <w:r>
        <w:rPr>
          <w:rFonts w:hint="eastAsia"/>
        </w:rPr>
        <w:t>人员要求</w:t>
      </w:r>
    </w:p>
    <w:p w14:paraId="3A8FED2F">
      <w:pPr>
        <w:pStyle w:val="166"/>
        <w:rPr>
          <w:color w:val="auto"/>
        </w:rPr>
      </w:pPr>
      <w:r>
        <w:rPr>
          <w:rFonts w:hint="eastAsia"/>
          <w:color w:val="auto"/>
          <w:lang w:eastAsia="zh-CN"/>
        </w:rPr>
        <w:t>应</w:t>
      </w:r>
      <w:r>
        <w:rPr>
          <w:rFonts w:hint="eastAsia"/>
          <w:color w:val="auto"/>
        </w:rPr>
        <w:t>建立</w:t>
      </w:r>
      <w:r>
        <w:rPr>
          <w:rFonts w:hint="eastAsia"/>
          <w:color w:val="auto"/>
          <w:lang w:eastAsia="zh-CN"/>
        </w:rPr>
        <w:t>跨专业</w:t>
      </w:r>
      <w:r>
        <w:rPr>
          <w:rFonts w:hint="eastAsia"/>
          <w:color w:val="auto"/>
        </w:rPr>
        <w:t>服务团队，包括但不限于：医学、护理、康复、营养、</w:t>
      </w:r>
      <w:r>
        <w:rPr>
          <w:rFonts w:hint="eastAsia"/>
          <w:color w:val="auto"/>
          <w:lang w:eastAsia="zh-CN"/>
        </w:rPr>
        <w:t>社会工作</w:t>
      </w:r>
      <w:r>
        <w:rPr>
          <w:rFonts w:hint="eastAsia"/>
          <w:color w:val="auto"/>
        </w:rPr>
        <w:t>等服务人员，其中，专业人员应具备相应的执业资质。</w:t>
      </w:r>
    </w:p>
    <w:p w14:paraId="7D027F2C">
      <w:pPr>
        <w:pStyle w:val="166"/>
        <w:rPr>
          <w:color w:val="auto"/>
        </w:rPr>
      </w:pPr>
      <w:r>
        <w:rPr>
          <w:rFonts w:hint="eastAsia"/>
          <w:color w:val="auto"/>
        </w:rPr>
        <w:t>服务人员应</w:t>
      </w:r>
      <w:r>
        <w:rPr>
          <w:rFonts w:hint="eastAsia"/>
          <w:color w:val="auto"/>
          <w:lang w:val="en-US" w:eastAsia="zh-CN"/>
        </w:rPr>
        <w:t>具备相应的专业知识和技能。开展风险筛查和早期干预的服务人员应理解认知障碍评估要点，掌握认知训练、生活方式干预、作业疗法等照护方法；专业照护人员应掌握认知障碍照护、心理健康等相关知识以及自我保护、安全防护等技能，具有自我情绪管理能力。</w:t>
      </w:r>
    </w:p>
    <w:p w14:paraId="3E8B0269">
      <w:pPr>
        <w:pStyle w:val="166"/>
        <w:rPr>
          <w:color w:val="auto"/>
        </w:rPr>
      </w:pPr>
      <w:r>
        <w:rPr>
          <w:rFonts w:hint="eastAsia"/>
          <w:color w:val="auto"/>
        </w:rPr>
        <w:t>服务人员</w:t>
      </w:r>
      <w:r>
        <w:rPr>
          <w:rFonts w:hint="eastAsia"/>
          <w:color w:val="auto"/>
          <w:lang w:val="en-US" w:eastAsia="zh-CN"/>
        </w:rPr>
        <w:t>应</w:t>
      </w:r>
      <w:r>
        <w:rPr>
          <w:rFonts w:hint="eastAsia"/>
          <w:color w:val="auto"/>
        </w:rPr>
        <w:t>接受认知障碍照护专业的岗前培训，上岗后应定期参加继续教育。</w:t>
      </w:r>
    </w:p>
    <w:p w14:paraId="0C3B6DBE">
      <w:pPr>
        <w:pStyle w:val="106"/>
        <w:bidi w:val="0"/>
        <w:ind w:left="0" w:leftChars="0" w:firstLine="0" w:firstLineChars="0"/>
      </w:pPr>
      <w:r>
        <w:rPr>
          <w:rFonts w:hint="eastAsia"/>
          <w:lang w:eastAsia="zh-CN"/>
        </w:rPr>
        <w:t>制度要求</w:t>
      </w:r>
    </w:p>
    <w:p w14:paraId="2565B828">
      <w:pPr>
        <w:pStyle w:val="57"/>
      </w:pPr>
      <w:r>
        <w:rPr>
          <w:rFonts w:hint="eastAsia"/>
          <w:lang w:val="en-US" w:eastAsia="zh-CN"/>
        </w:rPr>
        <w:t>应建立健全与服务相适应的管理制度，包括但不限于服务管理、档案管理、安全与应急管理、服务质量控制、老年人合法权益保障等方面。</w:t>
      </w:r>
    </w:p>
    <w:p w14:paraId="6A827D0A">
      <w:pPr>
        <w:pStyle w:val="105"/>
        <w:spacing w:before="312" w:after="312"/>
      </w:pPr>
      <w:bookmarkStart w:id="45" w:name="_Toc10773"/>
      <w:bookmarkStart w:id="46" w:name="_Toc14849"/>
      <w:r>
        <w:rPr>
          <w:rFonts w:hint="eastAsia"/>
        </w:rPr>
        <w:t>服务</w:t>
      </w:r>
      <w:bookmarkEnd w:id="45"/>
      <w:bookmarkEnd w:id="46"/>
      <w:r>
        <w:rPr>
          <w:rFonts w:hint="eastAsia"/>
        </w:rPr>
        <w:t>流程</w:t>
      </w:r>
    </w:p>
    <w:p w14:paraId="2B03CD6A">
      <w:pPr>
        <w:pStyle w:val="106"/>
        <w:spacing w:before="156" w:after="156"/>
      </w:pPr>
      <w:r>
        <w:rPr>
          <w:rFonts w:hint="eastAsia"/>
          <w:lang w:val="en-US" w:eastAsia="zh-CN"/>
        </w:rPr>
        <w:t>需求</w:t>
      </w:r>
      <w:r>
        <w:rPr>
          <w:rFonts w:hint="eastAsia"/>
        </w:rPr>
        <w:t>评估</w:t>
      </w:r>
    </w:p>
    <w:p w14:paraId="7F86C589">
      <w:pPr>
        <w:pStyle w:val="57"/>
        <w:bidi w:val="0"/>
      </w:pPr>
      <w:r>
        <w:rPr>
          <w:rFonts w:hint="eastAsia"/>
          <w:lang w:val="en-US" w:eastAsia="zh-CN"/>
        </w:rPr>
        <w:t>由具备资质的评估人员为老年人进行评估，</w:t>
      </w:r>
      <w:r>
        <w:rPr>
          <w:rFonts w:hint="eastAsia"/>
          <w:lang w:eastAsia="zh-CN"/>
        </w:rPr>
        <w:t>评估内容包括但不限于</w:t>
      </w:r>
      <w:r>
        <w:rPr>
          <w:rFonts w:hint="eastAsia"/>
          <w:lang w:val="en-US" w:eastAsia="zh-CN"/>
        </w:rPr>
        <w:t>老年人</w:t>
      </w:r>
      <w:r>
        <w:rPr>
          <w:rFonts w:hint="eastAsia"/>
          <w:lang w:eastAsia="zh-CN"/>
        </w:rPr>
        <w:t>健康状况、认知功能、精神行为症状、生活自理能力、社会参与能力、家庭支持情况、社交心理及情绪支持、环境需求、护理风险</w:t>
      </w:r>
      <w:r>
        <w:rPr>
          <w:rFonts w:hint="eastAsia"/>
          <w:lang w:val="en-US" w:eastAsia="zh-CN"/>
        </w:rPr>
        <w:t>等，识别服务需求及照护风险</w:t>
      </w:r>
      <w:r>
        <w:rPr>
          <w:rFonts w:hint="eastAsia"/>
          <w:lang w:eastAsia="zh-CN"/>
        </w:rPr>
        <w:t>。</w:t>
      </w:r>
    </w:p>
    <w:p w14:paraId="3CEA4E32">
      <w:pPr>
        <w:pStyle w:val="106"/>
        <w:spacing w:before="156" w:after="156"/>
      </w:pPr>
      <w:r>
        <w:rPr>
          <w:rFonts w:hint="eastAsia"/>
          <w:lang w:eastAsia="zh-CN"/>
        </w:rPr>
        <w:t>签订服务协议</w:t>
      </w:r>
    </w:p>
    <w:p w14:paraId="52CD1CC8">
      <w:pPr>
        <w:pStyle w:val="57"/>
      </w:pPr>
      <w:r>
        <w:rPr>
          <w:rFonts w:hint="eastAsia"/>
          <w:lang w:eastAsia="zh-CN"/>
        </w:rPr>
        <w:t>服务机构应与接受服务的老年人或相关第三方签订服务协议。当服务内容、收费标准等发生变化时，应及时变更服务协议。</w:t>
      </w:r>
    </w:p>
    <w:p w14:paraId="6CFF965B">
      <w:pPr>
        <w:pStyle w:val="106"/>
        <w:spacing w:before="156" w:after="156"/>
      </w:pPr>
      <w:r>
        <w:rPr>
          <w:rFonts w:hint="eastAsia"/>
          <w:lang w:val="en-US" w:eastAsia="zh-CN"/>
        </w:rPr>
        <w:t>制定</w:t>
      </w:r>
      <w:r>
        <w:rPr>
          <w:rFonts w:hint="eastAsia"/>
        </w:rPr>
        <w:t>个性化照护方案</w:t>
      </w:r>
    </w:p>
    <w:p w14:paraId="24380371">
      <w:pPr>
        <w:pStyle w:val="166"/>
      </w:pPr>
      <w:r>
        <w:rPr>
          <w:rFonts w:hint="eastAsia"/>
        </w:rPr>
        <w:t>根据评估结果划分认知障碍程度（如轻度、中度、重度），确定对应的照护优先级。应根据评估结果和认知障碍</w:t>
      </w:r>
      <w:r>
        <w:rPr>
          <w:rFonts w:hint="eastAsia"/>
          <w:lang w:eastAsia="zh-CN"/>
        </w:rPr>
        <w:t>老年人</w:t>
      </w:r>
      <w:r>
        <w:rPr>
          <w:rFonts w:hint="eastAsia"/>
        </w:rPr>
        <w:t>的需求，制定个性化照护方案。</w:t>
      </w:r>
    </w:p>
    <w:p w14:paraId="13E8CC90">
      <w:pPr>
        <w:pStyle w:val="181"/>
      </w:pPr>
      <w:r>
        <w:rPr>
          <w:rFonts w:hint="eastAsia"/>
        </w:rPr>
        <w:t>轻度认知障碍：个体出现超出其年龄和教育水平的认知功能减退，但日常生活能力基本保持正常，未达到痴呆的严重程度，采用简易精神状态检查量表（MMSE）评估得分21～26分。</w:t>
      </w:r>
    </w:p>
    <w:p w14:paraId="64FC60DD">
      <w:pPr>
        <w:pStyle w:val="181"/>
      </w:pPr>
      <w:r>
        <w:rPr>
          <w:rFonts w:hint="eastAsia"/>
        </w:rPr>
        <w:t>中度认知障碍：个体认知功能下降已对日常生活产生明显影响，采用简易精神状态检查量表（MMSE）评估得分10～20分。</w:t>
      </w:r>
    </w:p>
    <w:p w14:paraId="411CF319">
      <w:pPr>
        <w:pStyle w:val="181"/>
      </w:pPr>
      <w:r>
        <w:rPr>
          <w:rFonts w:hint="eastAsia"/>
        </w:rPr>
        <w:t>重度认知障碍：个体认知功能严重受损，日常生活完全依赖他人，采用简易精神状态检查量表（MMSE）评估得分≤9分。</w:t>
      </w:r>
    </w:p>
    <w:p w14:paraId="72E48AAA">
      <w:pPr>
        <w:pStyle w:val="166"/>
        <w:bidi w:val="0"/>
      </w:pPr>
      <w:r>
        <w:rPr>
          <w:rFonts w:hint="eastAsia"/>
        </w:rPr>
        <w:t>应与认知障碍</w:t>
      </w:r>
      <w:r>
        <w:rPr>
          <w:rFonts w:hint="eastAsia"/>
          <w:lang w:eastAsia="zh-CN"/>
        </w:rPr>
        <w:t>老年人</w:t>
      </w:r>
      <w:r>
        <w:rPr>
          <w:rFonts w:hint="eastAsia"/>
        </w:rPr>
        <w:t>或其家属</w:t>
      </w:r>
      <w:r>
        <w:rPr>
          <w:rFonts w:hint="eastAsia"/>
          <w:lang w:val="en-US" w:eastAsia="zh-CN"/>
        </w:rPr>
        <w:t>签字</w:t>
      </w:r>
      <w:r>
        <w:rPr>
          <w:rFonts w:hint="eastAsia"/>
        </w:rPr>
        <w:t>确认个性化照护方案。</w:t>
      </w:r>
    </w:p>
    <w:p w14:paraId="6A473D38">
      <w:pPr>
        <w:pStyle w:val="106"/>
        <w:spacing w:before="156" w:after="156"/>
      </w:pPr>
      <w:r>
        <w:rPr>
          <w:rFonts w:hint="eastAsia"/>
        </w:rPr>
        <w:t>照护实施</w:t>
      </w:r>
    </w:p>
    <w:p w14:paraId="4A047DA9">
      <w:pPr>
        <w:pStyle w:val="166"/>
      </w:pPr>
      <w:r>
        <w:t>服务人员应依据照护</w:t>
      </w:r>
      <w:r>
        <w:rPr>
          <w:rFonts w:hint="eastAsia"/>
        </w:rPr>
        <w:t>方案</w:t>
      </w:r>
      <w:r>
        <w:t>，明确各自的工作任务和职责</w:t>
      </w:r>
      <w:r>
        <w:rPr>
          <w:rFonts w:hint="eastAsia"/>
          <w:lang w:eastAsia="zh-CN"/>
        </w:rPr>
        <w:t>，</w:t>
      </w:r>
      <w:r>
        <w:rPr>
          <w:rFonts w:hint="eastAsia"/>
          <w:lang w:val="en-US" w:eastAsia="zh-CN"/>
        </w:rPr>
        <w:t>提供相应服务</w:t>
      </w:r>
      <w:r>
        <w:t>。</w:t>
      </w:r>
    </w:p>
    <w:p w14:paraId="2955A0F3">
      <w:pPr>
        <w:pStyle w:val="166"/>
      </w:pPr>
      <w:r>
        <w:t>服务人员应详细记录照护过程，并</w:t>
      </w:r>
      <w:r>
        <w:rPr>
          <w:rFonts w:hint="eastAsia"/>
          <w:lang w:val="en-US" w:eastAsia="zh-CN"/>
        </w:rPr>
        <w:t>及时归档服务和管理过程中形成的有关资料</w:t>
      </w:r>
      <w:r>
        <w:rPr>
          <w:rFonts w:hint="eastAsia"/>
        </w:rPr>
        <w:t>。</w:t>
      </w:r>
    </w:p>
    <w:p w14:paraId="12D26A76">
      <w:pPr>
        <w:pStyle w:val="106"/>
        <w:spacing w:before="156" w:after="156"/>
      </w:pPr>
      <w:r>
        <w:rPr>
          <w:rFonts w:hint="eastAsia"/>
        </w:rPr>
        <w:t>效果评估</w:t>
      </w:r>
    </w:p>
    <w:p w14:paraId="1271ECF7">
      <w:pPr>
        <w:pStyle w:val="57"/>
        <w:bidi w:val="0"/>
        <w:rPr>
          <w:rFonts w:hint="eastAsia"/>
        </w:rPr>
      </w:pPr>
      <w:r>
        <w:rPr>
          <w:rFonts w:hint="eastAsia"/>
        </w:rPr>
        <w:t>宜</w:t>
      </w:r>
      <w:r>
        <w:rPr>
          <w:rFonts w:hint="eastAsia"/>
          <w:lang w:eastAsia="zh-CN"/>
        </w:rPr>
        <w:t>针对干预效果定期进行服务对象</w:t>
      </w:r>
      <w:r>
        <w:rPr>
          <w:rFonts w:hint="eastAsia"/>
        </w:rPr>
        <w:t>认知功能评估，如发现</w:t>
      </w:r>
      <w:r>
        <w:rPr>
          <w:rFonts w:hint="eastAsia"/>
          <w:lang w:eastAsia="zh-CN"/>
        </w:rPr>
        <w:t>服务对象</w:t>
      </w:r>
      <w:r>
        <w:rPr>
          <w:rFonts w:hint="eastAsia"/>
        </w:rPr>
        <w:t>出现明显的认知障碍功能下降应进行即时评估。</w:t>
      </w:r>
    </w:p>
    <w:p w14:paraId="43482592">
      <w:pPr>
        <w:pStyle w:val="106"/>
        <w:bidi w:val="0"/>
        <w:rPr>
          <w:rFonts w:hint="eastAsia"/>
        </w:rPr>
      </w:pPr>
      <w:r>
        <w:rPr>
          <w:rFonts w:hint="eastAsia"/>
          <w:lang w:val="en-US" w:eastAsia="zh-CN"/>
        </w:rPr>
        <w:t>变更</w:t>
      </w:r>
      <w:r>
        <w:rPr>
          <w:rFonts w:hint="eastAsia"/>
        </w:rPr>
        <w:t>个性化照护方案</w:t>
      </w:r>
      <w:r>
        <w:rPr>
          <w:rFonts w:hint="eastAsia"/>
          <w:lang w:eastAsia="zh-CN"/>
        </w:rPr>
        <w:t>（</w:t>
      </w:r>
      <w:r>
        <w:rPr>
          <w:rFonts w:hint="eastAsia"/>
          <w:lang w:val="en-US" w:eastAsia="zh-CN"/>
        </w:rPr>
        <w:t>适用时</w:t>
      </w:r>
      <w:r>
        <w:rPr>
          <w:rFonts w:hint="eastAsia"/>
          <w:lang w:eastAsia="zh-CN"/>
        </w:rPr>
        <w:t>）</w:t>
      </w:r>
    </w:p>
    <w:p w14:paraId="274A9FE0">
      <w:pPr>
        <w:pStyle w:val="166"/>
        <w:bidi w:val="0"/>
        <w:rPr>
          <w:rFonts w:hint="eastAsia"/>
          <w:lang w:eastAsia="zh-CN"/>
        </w:rPr>
      </w:pPr>
      <w:r>
        <w:rPr>
          <w:rFonts w:hint="eastAsia"/>
          <w:lang w:val="en-US" w:eastAsia="zh-CN"/>
        </w:rPr>
        <w:t>应根据动态评估的结果和老年人实际需求的变化</w:t>
      </w:r>
      <w:r>
        <w:rPr>
          <w:rFonts w:hint="eastAsia"/>
        </w:rPr>
        <w:t>，动态调整个性化照护方案</w:t>
      </w:r>
      <w:r>
        <w:rPr>
          <w:rFonts w:hint="eastAsia"/>
          <w:lang w:eastAsia="zh-CN"/>
        </w:rPr>
        <w:t>。</w:t>
      </w:r>
    </w:p>
    <w:p w14:paraId="444A9E9C">
      <w:pPr>
        <w:pStyle w:val="166"/>
        <w:bidi w:val="0"/>
        <w:rPr>
          <w:rFonts w:hint="default"/>
          <w:lang w:val="en-US" w:eastAsia="zh-CN"/>
        </w:rPr>
      </w:pPr>
      <w:r>
        <w:rPr>
          <w:rFonts w:hint="eastAsia"/>
        </w:rPr>
        <w:t>个性化照护方案</w:t>
      </w:r>
      <w:r>
        <w:rPr>
          <w:rFonts w:hint="eastAsia"/>
          <w:lang w:val="en-US" w:eastAsia="zh-CN"/>
        </w:rPr>
        <w:t>做出调整和变更时，应与老年人或其家属沟通确认。</w:t>
      </w:r>
    </w:p>
    <w:p w14:paraId="560AF459">
      <w:pPr>
        <w:pStyle w:val="105"/>
        <w:spacing w:before="312" w:after="312"/>
      </w:pPr>
      <w:bookmarkStart w:id="47" w:name="_Toc21296"/>
      <w:bookmarkStart w:id="48" w:name="_Toc32272"/>
      <w:r>
        <w:rPr>
          <w:rFonts w:hint="eastAsia"/>
        </w:rPr>
        <w:t>服务内容</w:t>
      </w:r>
      <w:bookmarkEnd w:id="47"/>
      <w:bookmarkEnd w:id="48"/>
    </w:p>
    <w:p w14:paraId="11EC0A16">
      <w:pPr>
        <w:pStyle w:val="106"/>
        <w:spacing w:before="156" w:after="156"/>
      </w:pPr>
      <w:r>
        <w:rPr>
          <w:rFonts w:hint="eastAsia"/>
          <w:lang w:eastAsia="zh-CN"/>
        </w:rPr>
        <w:t>社区教育和咨询</w:t>
      </w:r>
    </w:p>
    <w:p w14:paraId="6A0048DA">
      <w:pPr>
        <w:pStyle w:val="166"/>
        <w:bidi w:val="0"/>
        <w:rPr>
          <w:rFonts w:hint="eastAsia"/>
          <w:lang w:eastAsia="zh-CN"/>
        </w:rPr>
      </w:pPr>
      <w:r>
        <w:rPr>
          <w:rFonts w:hint="eastAsia"/>
          <w:lang w:val="en-US" w:eastAsia="zh-CN"/>
        </w:rPr>
        <w:t>通过多种途径开展以认知障碍的基础知识、患病风险、早期征兆等为主题的健康教育，提升社区居民对于早期认知障碍的辨识能力。</w:t>
      </w:r>
    </w:p>
    <w:p w14:paraId="3201D38C">
      <w:pPr>
        <w:pStyle w:val="166"/>
        <w:bidi w:val="0"/>
        <w:rPr>
          <w:rFonts w:hint="eastAsia"/>
          <w:lang w:eastAsia="zh-CN"/>
        </w:rPr>
      </w:pPr>
      <w:r>
        <w:rPr>
          <w:rFonts w:hint="eastAsia"/>
          <w:lang w:eastAsia="zh-CN"/>
        </w:rPr>
        <w:t>通过设置认知障碍教育宣传栏、制作和发放宣传资料、在社区公共活动区域播放音像资料、定期举办知识讲座等方式，</w:t>
      </w:r>
      <w:r>
        <w:rPr>
          <w:rFonts w:hint="eastAsia"/>
          <w:lang w:val="en-US" w:eastAsia="zh-CN"/>
        </w:rPr>
        <w:t>面向社区开展老年认知障碍、健康养老等科普宣传</w:t>
      </w:r>
      <w:r>
        <w:rPr>
          <w:rFonts w:hint="eastAsia"/>
          <w:lang w:eastAsia="zh-CN"/>
        </w:rPr>
        <w:t>。</w:t>
      </w:r>
    </w:p>
    <w:p w14:paraId="494B609B">
      <w:pPr>
        <w:pStyle w:val="166"/>
        <w:bidi w:val="0"/>
        <w:rPr>
          <w:rFonts w:hint="eastAsia"/>
          <w:lang w:eastAsia="zh-CN"/>
        </w:rPr>
      </w:pPr>
      <w:r>
        <w:rPr>
          <w:rFonts w:hint="eastAsia"/>
          <w:lang w:eastAsia="zh-CN"/>
        </w:rPr>
        <w:t>在卫生宣传日、健康主题日或其他适宜时间开展认知障碍的咨询活动，由医务专业人员为老年人开展认知障碍、认知症方面的信息咨询。</w:t>
      </w:r>
    </w:p>
    <w:p w14:paraId="185733A6">
      <w:pPr>
        <w:pStyle w:val="106"/>
        <w:spacing w:before="156" w:after="156"/>
      </w:pPr>
      <w:r>
        <w:rPr>
          <w:rFonts w:hint="eastAsia"/>
          <w:lang w:val="en-US" w:eastAsia="zh-CN"/>
        </w:rPr>
        <w:t>风险筛查和评估</w:t>
      </w:r>
    </w:p>
    <w:p w14:paraId="0B6F317C">
      <w:pPr>
        <w:pStyle w:val="166"/>
        <w:bidi w:val="0"/>
        <w:rPr>
          <w:rFonts w:hint="eastAsia"/>
          <w:lang w:val="en-US" w:eastAsia="zh-CN"/>
        </w:rPr>
      </w:pPr>
      <w:r>
        <w:rPr>
          <w:rFonts w:hint="eastAsia"/>
          <w:lang w:val="en-US" w:eastAsia="zh-CN"/>
        </w:rPr>
        <w:t>向社区居民提供认知障碍风险筛查的资源和平台。</w:t>
      </w:r>
    </w:p>
    <w:p w14:paraId="3626DD42">
      <w:pPr>
        <w:pStyle w:val="166"/>
        <w:bidi w:val="0"/>
        <w:rPr>
          <w:rFonts w:hint="eastAsia"/>
          <w:lang w:val="en-US" w:eastAsia="zh-CN"/>
        </w:rPr>
      </w:pPr>
      <w:r>
        <w:rPr>
          <w:rFonts w:hint="eastAsia"/>
          <w:lang w:val="en-US" w:eastAsia="zh-CN"/>
        </w:rPr>
        <w:t>通用的认知障碍风险筛查和评估工具包括</w:t>
      </w:r>
      <w:r>
        <w:rPr>
          <w:rFonts w:hint="eastAsia"/>
        </w:rPr>
        <w:t>简易智力状态评估表（MINI—cog）</w:t>
      </w:r>
      <w:r>
        <w:rPr>
          <w:rFonts w:hint="eastAsia"/>
          <w:lang w:eastAsia="zh-CN"/>
        </w:rPr>
        <w:t>、</w:t>
      </w:r>
      <w:r>
        <w:rPr>
          <w:rFonts w:hint="eastAsia"/>
        </w:rPr>
        <w:t>简易智能精神状态量表（MMSE）</w:t>
      </w:r>
      <w:r>
        <w:rPr>
          <w:rFonts w:hint="eastAsia"/>
          <w:lang w:val="en-US" w:eastAsia="zh-CN"/>
        </w:rPr>
        <w:t>等，见附录A。</w:t>
      </w:r>
    </w:p>
    <w:p w14:paraId="6FB2AA8C">
      <w:pPr>
        <w:pStyle w:val="166"/>
        <w:bidi w:val="0"/>
        <w:rPr>
          <w:rFonts w:hint="default"/>
          <w:lang w:val="en-US" w:eastAsia="zh-CN"/>
        </w:rPr>
      </w:pPr>
      <w:r>
        <w:rPr>
          <w:rFonts w:hint="eastAsia"/>
          <w:lang w:val="en-US" w:eastAsia="zh-CN"/>
        </w:rPr>
        <w:t>针对认知障碍风险筛查异常的老年人，转介给医疗机构进行进一步评估确诊。确诊机构后续宜将评估结果反馈至相应的社区服务机构。</w:t>
      </w:r>
    </w:p>
    <w:p w14:paraId="6824A1DB">
      <w:pPr>
        <w:pStyle w:val="166"/>
        <w:bidi w:val="0"/>
        <w:rPr>
          <w:rFonts w:hint="default"/>
          <w:lang w:val="en-US" w:eastAsia="zh-CN"/>
        </w:rPr>
      </w:pPr>
      <w:r>
        <w:rPr>
          <w:rFonts w:hint="eastAsia"/>
          <w:lang w:val="en-US" w:eastAsia="zh-CN"/>
        </w:rPr>
        <w:t>对经医疗机构诊疗后回归社区的认知障碍老年人，社区服务机构及时获取相关诊疗数据，宜为已确诊认知障碍老年人每年安排复评和复诊。</w:t>
      </w:r>
    </w:p>
    <w:p w14:paraId="7D4CD7C4">
      <w:pPr>
        <w:pStyle w:val="106"/>
        <w:spacing w:before="156" w:after="156"/>
      </w:pPr>
      <w:r>
        <w:rPr>
          <w:rFonts w:hint="eastAsia"/>
          <w:lang w:val="en-US" w:eastAsia="zh-CN"/>
        </w:rPr>
        <w:t>对</w:t>
      </w:r>
      <w:r>
        <w:rPr>
          <w:rFonts w:hint="eastAsia"/>
        </w:rPr>
        <w:t>轻度认知障碍</w:t>
      </w:r>
      <w:r>
        <w:rPr>
          <w:rFonts w:hint="eastAsia"/>
          <w:lang w:eastAsia="zh-CN"/>
        </w:rPr>
        <w:t>老年人</w:t>
      </w:r>
      <w:r>
        <w:rPr>
          <w:rFonts w:hint="eastAsia"/>
          <w:lang w:val="en-US" w:eastAsia="zh-CN"/>
        </w:rPr>
        <w:t>的照护</w:t>
      </w:r>
    </w:p>
    <w:p w14:paraId="07FE6774">
      <w:pPr>
        <w:pStyle w:val="66"/>
        <w:spacing w:before="156" w:after="156"/>
      </w:pPr>
      <w:r>
        <w:t>生活行为指导</w:t>
      </w:r>
    </w:p>
    <w:p w14:paraId="45D37A53">
      <w:pPr>
        <w:pStyle w:val="95"/>
        <w:spacing w:before="156" w:after="156"/>
      </w:pPr>
      <w:r>
        <w:t>饮食</w:t>
      </w:r>
      <w:r>
        <w:rPr>
          <w:rFonts w:hint="eastAsia"/>
        </w:rPr>
        <w:t>与</w:t>
      </w:r>
      <w:r>
        <w:t>营养</w:t>
      </w:r>
    </w:p>
    <w:p w14:paraId="5D0889EF">
      <w:pPr>
        <w:pStyle w:val="168"/>
        <w:rPr>
          <w:rFonts w:hint="eastAsia"/>
        </w:rPr>
      </w:pPr>
      <w:r>
        <w:t>指导服务对象规律进餐，</w:t>
      </w:r>
      <w:r>
        <w:rPr>
          <w:rFonts w:hint="eastAsia"/>
        </w:rPr>
        <w:t>定时定量进食。</w:t>
      </w:r>
    </w:p>
    <w:p w14:paraId="2BA0701D">
      <w:pPr>
        <w:pStyle w:val="168"/>
        <w:rPr>
          <w:rFonts w:hint="eastAsia"/>
        </w:rPr>
      </w:pPr>
      <w:r>
        <w:rPr>
          <w:rFonts w:hint="eastAsia"/>
        </w:rPr>
        <w:t>选择易于消化、营养均衡的食物，避免过于油腻或辛辣的食物，以免刺激胃肠道。同时，鼓励服务对象适量摄入富含优质蛋白质、维生素和矿物质的食物，如瘦肉、鱼类、蛋类、新鲜蔬菜和水果等，以维持身体健康，</w:t>
      </w:r>
      <w:r>
        <w:t>控制脂肪摄入，逐步戒除烟酒。</w:t>
      </w:r>
    </w:p>
    <w:p w14:paraId="44F9DDA7">
      <w:pPr>
        <w:pStyle w:val="95"/>
        <w:spacing w:before="156" w:after="156"/>
      </w:pPr>
      <w:r>
        <w:t>睡眠习惯</w:t>
      </w:r>
      <w:r>
        <w:rPr>
          <w:rFonts w:hint="eastAsia"/>
        </w:rPr>
        <w:t>训练</w:t>
      </w:r>
    </w:p>
    <w:p w14:paraId="40B936B2">
      <w:pPr>
        <w:pStyle w:val="168"/>
        <w:rPr>
          <w:rFonts w:hint="eastAsia"/>
        </w:rPr>
      </w:pPr>
      <w:r>
        <w:t>指导并协助服务对象建立规律的作息时间表。建议每天晚上在同一时间上床睡觉，早上在同一时间起床，以培养稳定的生物钟。午休时间不宜过长，以免影响夜间睡眠。同时，应鼓励服务对象在白天适当进行户外活动，接受自然光照，有助于提高夜间睡眠质量。</w:t>
      </w:r>
    </w:p>
    <w:p w14:paraId="1C741B24">
      <w:pPr>
        <w:pStyle w:val="168"/>
        <w:rPr>
          <w:rFonts w:hint="eastAsia"/>
        </w:rPr>
      </w:pPr>
      <w:r>
        <w:rPr>
          <w:rFonts w:hint="eastAsia"/>
        </w:rPr>
        <w:t>指导</w:t>
      </w:r>
      <w:r>
        <w:t>服务对象放松身心的技巧，例如聆听音乐、阅读等。</w:t>
      </w:r>
    </w:p>
    <w:p w14:paraId="2D41EAB4">
      <w:pPr>
        <w:pStyle w:val="168"/>
        <w:rPr>
          <w:rFonts w:hint="eastAsia"/>
        </w:rPr>
      </w:pPr>
      <w:r>
        <w:t>帮助服务对象营造一个舒适的睡眠环境，如减少光线干扰、避免噪音、保持适宜的室温等。</w:t>
      </w:r>
    </w:p>
    <w:p w14:paraId="54D5BED3">
      <w:pPr>
        <w:pStyle w:val="168"/>
        <w:rPr>
          <w:rFonts w:hint="eastAsia"/>
        </w:rPr>
      </w:pPr>
      <w:r>
        <w:rPr>
          <w:rFonts w:hint="eastAsia"/>
        </w:rPr>
        <w:t>告知</w:t>
      </w:r>
      <w:r>
        <w:t>服务对象注意睡前饮水量和避免摄入含咖啡因的饮品</w:t>
      </w:r>
      <w:r>
        <w:rPr>
          <w:rFonts w:hint="eastAsia"/>
        </w:rPr>
        <w:t>，如咖啡、浓茶等</w:t>
      </w:r>
      <w:r>
        <w:t>。</w:t>
      </w:r>
    </w:p>
    <w:p w14:paraId="270690C7">
      <w:pPr>
        <w:pStyle w:val="168"/>
        <w:rPr>
          <w:rFonts w:hint="eastAsia"/>
        </w:rPr>
      </w:pPr>
      <w:r>
        <w:t>若服务对象长期遭受睡眠障碍困扰，且影响到日常生活，建议及时寻求医疗帮助</w:t>
      </w:r>
      <w:r>
        <w:rPr>
          <w:rFonts w:hint="eastAsia"/>
        </w:rPr>
        <w:t>，遵嘱用药，并观察药物的副作用</w:t>
      </w:r>
      <w:r>
        <w:t>。</w:t>
      </w:r>
    </w:p>
    <w:p w14:paraId="41ECD9E4">
      <w:pPr>
        <w:pStyle w:val="95"/>
        <w:spacing w:before="156" w:after="156"/>
      </w:pPr>
      <w:r>
        <w:t>运动锻炼</w:t>
      </w:r>
    </w:p>
    <w:p w14:paraId="366FD120">
      <w:pPr>
        <w:pStyle w:val="168"/>
        <w:rPr>
          <w:rFonts w:hint="eastAsia"/>
        </w:rPr>
      </w:pPr>
      <w:r>
        <w:rPr>
          <w:rFonts w:hint="eastAsia"/>
        </w:rPr>
        <w:t>鼓励</w:t>
      </w:r>
      <w:r>
        <w:t>服务对象增强运动康复意识，提升自我管理能力。</w:t>
      </w:r>
    </w:p>
    <w:p w14:paraId="7AB69588">
      <w:pPr>
        <w:pStyle w:val="168"/>
        <w:rPr>
          <w:rFonts w:hint="eastAsia"/>
        </w:rPr>
      </w:pPr>
      <w:r>
        <w:rPr>
          <w:rFonts w:hint="eastAsia"/>
        </w:rPr>
        <w:t>指导服务对象定期进行适度的有氧运动，如散步、慢跑、太极拳等，有助于改善心肺功能，增强体质。同时，结合力量训练，可以增强肌肉力量，提高身体稳定性。</w:t>
      </w:r>
    </w:p>
    <w:p w14:paraId="49938B9A">
      <w:pPr>
        <w:pStyle w:val="66"/>
        <w:spacing w:before="156" w:after="156"/>
      </w:pPr>
      <w:r>
        <w:rPr>
          <w:rFonts w:hint="eastAsia"/>
        </w:rPr>
        <w:t>认知干预及指导</w:t>
      </w:r>
    </w:p>
    <w:p w14:paraId="3C5F5CE6">
      <w:pPr>
        <w:pStyle w:val="95"/>
        <w:spacing w:before="156" w:after="156"/>
      </w:pPr>
      <w:r>
        <w:rPr>
          <w:rFonts w:hint="eastAsia"/>
        </w:rPr>
        <w:t>认知刺激</w:t>
      </w:r>
    </w:p>
    <w:p w14:paraId="317BC81C">
      <w:pPr>
        <w:pStyle w:val="168"/>
        <w:rPr>
          <w:rFonts w:hint="eastAsia"/>
        </w:rPr>
      </w:pPr>
      <w:r>
        <w:t>认知刺激干预应当遵循明确的目标、逐步推进以及多学科团队合作的原则。</w:t>
      </w:r>
    </w:p>
    <w:p w14:paraId="74B8AADE">
      <w:pPr>
        <w:pStyle w:val="168"/>
        <w:rPr>
          <w:rFonts w:hint="eastAsia"/>
        </w:rPr>
      </w:pPr>
      <w:r>
        <w:t>鼓励积极参与认知刺激活动，例如：记忆训练、艺术与创意表达活动、怀旧疗法</w:t>
      </w:r>
      <w:r>
        <w:rPr>
          <w:rFonts w:hint="eastAsia"/>
        </w:rPr>
        <w:t>、园艺疗法、玩偶疗法、日光照射、芳香疗法、音乐疗法、模拟超市购物</w:t>
      </w:r>
      <w:r>
        <w:t>等</w:t>
      </w:r>
      <w:r>
        <w:rPr>
          <w:rFonts w:hint="eastAsia"/>
        </w:rPr>
        <w:t>认知刺激活动</w:t>
      </w:r>
      <w:r>
        <w:t>。</w:t>
      </w:r>
    </w:p>
    <w:p w14:paraId="6B7FF88A">
      <w:pPr>
        <w:pStyle w:val="95"/>
        <w:spacing w:before="156" w:after="156"/>
      </w:pPr>
      <w:r>
        <w:rPr>
          <w:rFonts w:hint="eastAsia"/>
        </w:rPr>
        <w:t>认知训练</w:t>
      </w:r>
    </w:p>
    <w:p w14:paraId="276EA392">
      <w:pPr>
        <w:pStyle w:val="168"/>
        <w:rPr>
          <w:rFonts w:hint="eastAsia"/>
        </w:rPr>
      </w:pPr>
      <w:r>
        <w:rPr>
          <w:rFonts w:hint="eastAsia"/>
          <w:color w:val="auto"/>
          <w:lang w:val="en-US" w:eastAsia="zh-CN"/>
        </w:rPr>
        <w:t>社区</w:t>
      </w:r>
      <w:r>
        <w:rPr>
          <w:rFonts w:hint="eastAsia"/>
          <w:color w:val="auto"/>
        </w:rPr>
        <w:t>认知障碍照护服务团队</w:t>
      </w:r>
      <w:r>
        <w:t>应当为服务对象量身定制个性化的认知训练计划，并指导</w:t>
      </w:r>
      <w:r>
        <w:rPr>
          <w:rFonts w:hint="eastAsia"/>
          <w:lang w:eastAsia="zh-CN"/>
        </w:rPr>
        <w:t>其</w:t>
      </w:r>
      <w:r>
        <w:t>家属或照护者如何正确执行家庭训练。</w:t>
      </w:r>
    </w:p>
    <w:p w14:paraId="5A85DEFF">
      <w:pPr>
        <w:pStyle w:val="168"/>
        <w:rPr>
          <w:rFonts w:hint="eastAsia"/>
        </w:rPr>
      </w:pPr>
      <w:r>
        <w:rPr>
          <w:rFonts w:hint="eastAsia"/>
        </w:rPr>
        <w:t>宜采用涵盖多认知领域的综合性认知训练，在康复师指导下开展工作记忆训练、注意广度训练、执行功能训练、逻辑思维训练、语言训练训练等。</w:t>
      </w:r>
    </w:p>
    <w:p w14:paraId="5CC8B700">
      <w:pPr>
        <w:pStyle w:val="168"/>
        <w:rPr>
          <w:rFonts w:hint="eastAsia"/>
        </w:rPr>
      </w:pPr>
      <w:r>
        <w:rPr>
          <w:rFonts w:hint="eastAsia"/>
        </w:rPr>
        <w:t>可采用智能辅助认知训练为服务对象提供更具个性化和适应性的认知训练方案，实现精准干预。常见的智能辅助训练形式包括但不限于：认知训练软件、智能语音交互训练、结合生物反馈的情绪与认知调节训练</w:t>
      </w:r>
      <w:bookmarkStart w:id="53" w:name="_GoBack"/>
      <w:bookmarkEnd w:id="53"/>
      <w:r>
        <w:rPr>
          <w:rFonts w:hint="eastAsia"/>
        </w:rPr>
        <w:t>以及利用VR/AR技术构建的沉浸式认知挑战场景。在实施过程中，需确保数据安全与隐私保护，训练方案的设计与监督仍需由专业照护团队主导，定期评估效果并调整参数。</w:t>
      </w:r>
    </w:p>
    <w:p w14:paraId="1B215717">
      <w:pPr>
        <w:pStyle w:val="95"/>
        <w:spacing w:before="156" w:after="156"/>
      </w:pPr>
      <w:r>
        <w:rPr>
          <w:rFonts w:hint="eastAsia"/>
        </w:rPr>
        <w:t>社会参与训练</w:t>
      </w:r>
    </w:p>
    <w:p w14:paraId="6916C9E5">
      <w:pPr>
        <w:pStyle w:val="168"/>
        <w:rPr>
          <w:rFonts w:hint="eastAsia"/>
        </w:rPr>
      </w:pPr>
      <w:r>
        <w:rPr>
          <w:rFonts w:hint="eastAsia"/>
          <w:color w:val="auto"/>
          <w:lang w:val="en-US" w:eastAsia="zh-CN"/>
        </w:rPr>
        <w:t>社区</w:t>
      </w:r>
      <w:r>
        <w:rPr>
          <w:rFonts w:hint="eastAsia"/>
          <w:color w:val="auto"/>
        </w:rPr>
        <w:t>认知障碍照护服务团队</w:t>
      </w:r>
      <w:r>
        <w:rPr>
          <w:rFonts w:hint="eastAsia"/>
        </w:rPr>
        <w:t xml:space="preserve">应评估服务对象的兴趣和能力，量身定制参与计划，并提供必要支持如交通安排或活动协调，通过促进服务对象积极参与社会互动，减少孤独感，提升生活质量和认知功能。  </w:t>
      </w:r>
    </w:p>
    <w:p w14:paraId="2A4C4D67">
      <w:pPr>
        <w:pStyle w:val="168"/>
        <w:rPr>
          <w:rFonts w:hint="eastAsia"/>
        </w:rPr>
      </w:pPr>
      <w:r>
        <w:rPr>
          <w:rFonts w:hint="eastAsia"/>
        </w:rPr>
        <w:t xml:space="preserve">组织多样化的社会活动，例如：社区聚会、兴趣小组、志愿者服务、家庭互动及宗教活动，以增强沟通技巧和情感支持。    </w:t>
      </w:r>
    </w:p>
    <w:p w14:paraId="4C4241E2">
      <w:pPr>
        <w:pStyle w:val="168"/>
        <w:rPr>
          <w:rFonts w:hint="eastAsia"/>
        </w:rPr>
      </w:pPr>
      <w:r>
        <w:rPr>
          <w:rFonts w:hint="eastAsia"/>
        </w:rPr>
        <w:t>鼓励家属或照护者协助引导社会参与，确保活动安全、适度，并定期评估进展以优化干预效果。</w:t>
      </w:r>
    </w:p>
    <w:p w14:paraId="24E6504C">
      <w:pPr>
        <w:pStyle w:val="106"/>
        <w:spacing w:before="156" w:after="156"/>
      </w:pPr>
      <w:r>
        <w:rPr>
          <w:rFonts w:hint="eastAsia"/>
          <w:lang w:val="en-US" w:eastAsia="zh-CN"/>
        </w:rPr>
        <w:t>对</w:t>
      </w:r>
      <w:r>
        <w:rPr>
          <w:rFonts w:hint="eastAsia"/>
        </w:rPr>
        <w:t>中度、重度认知障碍</w:t>
      </w:r>
      <w:r>
        <w:rPr>
          <w:rFonts w:hint="eastAsia"/>
          <w:lang w:eastAsia="zh-CN"/>
        </w:rPr>
        <w:t>老年人</w:t>
      </w:r>
      <w:r>
        <w:rPr>
          <w:rFonts w:hint="eastAsia"/>
          <w:lang w:val="en-US" w:eastAsia="zh-CN"/>
        </w:rPr>
        <w:t>的照护</w:t>
      </w:r>
    </w:p>
    <w:p w14:paraId="32A33B3E">
      <w:pPr>
        <w:pStyle w:val="66"/>
        <w:spacing w:before="156" w:after="156"/>
      </w:pPr>
      <w:r>
        <w:rPr>
          <w:rFonts w:hint="eastAsia"/>
        </w:rPr>
        <w:t>生活照护</w:t>
      </w:r>
    </w:p>
    <w:p w14:paraId="3B2485E0">
      <w:pPr>
        <w:pStyle w:val="95"/>
        <w:spacing w:before="156" w:after="156"/>
      </w:pPr>
      <w:r>
        <w:rPr>
          <w:rFonts w:hint="eastAsia"/>
        </w:rPr>
        <w:t>饮食照护</w:t>
      </w:r>
    </w:p>
    <w:p w14:paraId="0330BFBD">
      <w:pPr>
        <w:pStyle w:val="168"/>
        <w:rPr>
          <w:rFonts w:hint="eastAsia"/>
        </w:rPr>
      </w:pPr>
      <w:r>
        <w:rPr>
          <w:rFonts w:hint="eastAsia"/>
        </w:rPr>
        <w:t>宜根据服务对象的意愿和进食情况选择食物种类，喂食过程中应注意食物温度适宜、喂食动作轻柔，对于饮用饮稀流质易呛咳者，建议添加食物加稠剂来调整食物质地。</w:t>
      </w:r>
    </w:p>
    <w:p w14:paraId="00387594">
      <w:pPr>
        <w:pStyle w:val="168"/>
        <w:rPr>
          <w:rFonts w:hint="eastAsia"/>
        </w:rPr>
      </w:pPr>
      <w:r>
        <w:rPr>
          <w:rFonts w:hint="eastAsia"/>
        </w:rPr>
        <w:t>进食体位应采取端坐位、头颈部略微前倾，宜选用匙面小、边缘圆滑、勺柄长、容量约5 ml的勺子，避免使用吸管饮水，进餐速度宜慢。</w:t>
      </w:r>
    </w:p>
    <w:p w14:paraId="11035FED">
      <w:pPr>
        <w:pStyle w:val="168"/>
        <w:rPr>
          <w:rFonts w:hint="eastAsia"/>
        </w:rPr>
      </w:pPr>
      <w:r>
        <w:rPr>
          <w:rFonts w:hint="eastAsia"/>
        </w:rPr>
        <w:t>在进食过程中，若出现呛咳或噎食，应立即停止进食，并迅速采取适当措施进行处理或抢救。如有必要，应及时就医。</w:t>
      </w:r>
    </w:p>
    <w:p w14:paraId="4983B134">
      <w:pPr>
        <w:pStyle w:val="168"/>
        <w:rPr>
          <w:rFonts w:hint="eastAsia" w:ascii="宋体" w:hAnsi="宋体" w:eastAsia="宋体" w:cs="宋体"/>
        </w:rPr>
      </w:pPr>
      <w:r>
        <w:rPr>
          <w:rFonts w:hint="eastAsia" w:ascii="宋体" w:hAnsi="宋体" w:eastAsia="宋体" w:cs="宋体"/>
        </w:rPr>
        <w:t>在进行鼻饲时，</w:t>
      </w:r>
      <w:r>
        <w:rPr>
          <w:rFonts w:hint="eastAsia" w:ascii="宋体" w:hAnsi="宋体" w:eastAsia="宋体" w:cs="宋体"/>
          <w:lang w:eastAsia="zh-CN"/>
        </w:rPr>
        <w:t>服务对象</w:t>
      </w:r>
      <w:r>
        <w:rPr>
          <w:rFonts w:hint="eastAsia" w:ascii="宋体" w:hAnsi="宋体" w:eastAsia="宋体" w:cs="宋体"/>
        </w:rPr>
        <w:t>应保持端坐位或床头抬高30°～45°。喂食后，应继续维持该体位</w:t>
      </w:r>
      <w:r>
        <w:rPr>
          <w:rFonts w:hint="eastAsia" w:ascii="宋体" w:hAnsi="宋体" w:eastAsia="宋体" w:cs="宋体"/>
          <w:lang w:val="en-US" w:eastAsia="zh-CN"/>
        </w:rPr>
        <w:t>30</w:t>
      </w:r>
      <w:r>
        <w:rPr>
          <w:rFonts w:hint="eastAsia" w:hAnsi="宋体" w:cs="宋体"/>
          <w:lang w:val="en-US" w:eastAsia="zh-CN"/>
        </w:rPr>
        <w:t> </w:t>
      </w:r>
      <w:r>
        <w:rPr>
          <w:rFonts w:hint="eastAsia" w:ascii="宋体" w:hAnsi="宋体" w:eastAsia="宋体" w:cs="宋体"/>
          <w:lang w:val="en-US" w:eastAsia="zh-CN"/>
        </w:rPr>
        <w:t>min～60</w:t>
      </w:r>
      <w:r>
        <w:rPr>
          <w:rFonts w:hint="eastAsia" w:hAnsi="宋体" w:cs="宋体"/>
          <w:lang w:val="en-US" w:eastAsia="zh-CN"/>
        </w:rPr>
        <w:t> </w:t>
      </w:r>
      <w:r>
        <w:rPr>
          <w:rFonts w:hint="eastAsia" w:ascii="宋体" w:hAnsi="宋体" w:eastAsia="宋体" w:cs="宋体"/>
          <w:lang w:val="en-US" w:eastAsia="zh-CN"/>
        </w:rPr>
        <w:t>min</w:t>
      </w:r>
      <w:r>
        <w:rPr>
          <w:rFonts w:hint="eastAsia" w:ascii="宋体" w:hAnsi="宋体" w:eastAsia="宋体" w:cs="宋体"/>
        </w:rPr>
        <w:t>。鼻饲前后需温水冲管。口服药物需要研磨粉碎后，液体溶解后注入，特殊口服药物除外。若</w:t>
      </w:r>
      <w:r>
        <w:rPr>
          <w:rFonts w:hint="eastAsia" w:ascii="宋体" w:hAnsi="宋体" w:eastAsia="宋体" w:cs="宋体"/>
          <w:lang w:eastAsia="zh-CN"/>
        </w:rPr>
        <w:t>服务对象</w:t>
      </w:r>
      <w:r>
        <w:rPr>
          <w:rFonts w:hint="eastAsia" w:ascii="宋体" w:hAnsi="宋体" w:eastAsia="宋体" w:cs="宋体"/>
        </w:rPr>
        <w:t>出现恶心、呕吐，或胃液中混有咖啡样物质，应立即停止鼻饲并及时报告。</w:t>
      </w:r>
    </w:p>
    <w:p w14:paraId="5C31E49E">
      <w:pPr>
        <w:pStyle w:val="168"/>
        <w:rPr>
          <w:rFonts w:hint="eastAsia"/>
        </w:rPr>
      </w:pPr>
      <w:r>
        <w:rPr>
          <w:rFonts w:hint="eastAsia"/>
        </w:rPr>
        <w:t>鼻饲后，观察</w:t>
      </w:r>
      <w:r>
        <w:rPr>
          <w:rFonts w:hint="eastAsia"/>
          <w:lang w:eastAsia="zh-CN"/>
        </w:rPr>
        <w:t>服务对象</w:t>
      </w:r>
      <w:r>
        <w:rPr>
          <w:rFonts w:hint="eastAsia"/>
        </w:rPr>
        <w:t>是否出现恶心、呛咳、呕吐、呼吸困难等误吸症状。若出现上述症状，应立即停止鼻饲并及时清理口鼻分泌物。注意</w:t>
      </w:r>
      <w:r>
        <w:rPr>
          <w:rFonts w:hint="eastAsia"/>
          <w:lang w:eastAsia="zh-CN"/>
        </w:rPr>
        <w:t>服务对象</w:t>
      </w:r>
      <w:r>
        <w:rPr>
          <w:rFonts w:hint="eastAsia"/>
        </w:rPr>
        <w:t>是否有腹胀、腹痛、腹泻、恶心、呕吐等症状，及时记录并报告医生。鼻饲结束后，将胃管末端反折并用纱布包好，妥善固定，防止胃管滑脱</w:t>
      </w:r>
    </w:p>
    <w:p w14:paraId="011C5B3E">
      <w:pPr>
        <w:pStyle w:val="168"/>
        <w:rPr>
          <w:rFonts w:hint="eastAsia"/>
        </w:rPr>
      </w:pPr>
      <w:r>
        <w:rPr>
          <w:rFonts w:hint="eastAsia"/>
        </w:rPr>
        <w:t>关注营养状态，必要时请营养师介入，进行饮食指导。</w:t>
      </w:r>
    </w:p>
    <w:p w14:paraId="37E504D5">
      <w:pPr>
        <w:pStyle w:val="95"/>
        <w:spacing w:before="156" w:after="156"/>
      </w:pPr>
      <w:r>
        <w:rPr>
          <w:rFonts w:hint="eastAsia"/>
        </w:rPr>
        <w:t>排泄照护</w:t>
      </w:r>
    </w:p>
    <w:p w14:paraId="67F738C4">
      <w:pPr>
        <w:pStyle w:val="168"/>
        <w:rPr>
          <w:rFonts w:hint="eastAsia"/>
        </w:rPr>
      </w:pPr>
      <w:r>
        <w:rPr>
          <w:rFonts w:hint="eastAsia"/>
        </w:rPr>
        <w:t>在没有疾病影响的情况下，应指导并协助</w:t>
      </w:r>
      <w:r>
        <w:rPr>
          <w:rFonts w:hint="eastAsia"/>
          <w:lang w:eastAsia="zh-CN"/>
        </w:rPr>
        <w:t>服务对象</w:t>
      </w:r>
      <w:r>
        <w:rPr>
          <w:rFonts w:hint="eastAsia"/>
        </w:rPr>
        <w:t>建立规律的排泄习惯，如定时排便、高纤维饮食、适量饮水、适量运动等。</w:t>
      </w:r>
    </w:p>
    <w:p w14:paraId="1249B742">
      <w:pPr>
        <w:pStyle w:val="168"/>
        <w:rPr>
          <w:rFonts w:hint="eastAsia"/>
        </w:rPr>
      </w:pPr>
      <w:r>
        <w:rPr>
          <w:rFonts w:hint="eastAsia"/>
        </w:rPr>
        <w:t>对于使用纸尿裤、假性尿袋等的服务对象，应选择合适的纸尿裤、假性尿袋并及时更换。</w:t>
      </w:r>
    </w:p>
    <w:p w14:paraId="310822B7">
      <w:pPr>
        <w:pStyle w:val="168"/>
        <w:rPr>
          <w:rFonts w:hint="eastAsia"/>
        </w:rPr>
      </w:pPr>
      <w:r>
        <w:rPr>
          <w:rFonts w:hint="eastAsia"/>
        </w:rPr>
        <w:t>在使用开塞露进行通便时，应检查其前端是否圆润光滑，并对肛门局部区域加强润滑；避免长期使用开塞露，以防产生依赖性；对于开塞露过敏者应禁用，必要时可采用其他替代方法，例如肥皂栓、甘油栓等。</w:t>
      </w:r>
    </w:p>
    <w:p w14:paraId="202881C0">
      <w:pPr>
        <w:pStyle w:val="168"/>
        <w:rPr>
          <w:rFonts w:hint="eastAsia"/>
        </w:rPr>
      </w:pPr>
      <w:r>
        <w:rPr>
          <w:rFonts w:hint="eastAsia"/>
        </w:rPr>
        <w:t>在进行指力扩肛、人工取便时，应采取温和的手法。操作过程中密切观察服务对象的反应，一旦出现面色苍白、呼吸急促、大汗淋漓等症状，应立即停止操作，并在必要时寻求医疗帮助。</w:t>
      </w:r>
    </w:p>
    <w:p w14:paraId="4D06703A">
      <w:pPr>
        <w:pStyle w:val="95"/>
        <w:spacing w:before="156" w:after="156"/>
      </w:pPr>
      <w:r>
        <w:rPr>
          <w:rFonts w:hint="eastAsia"/>
        </w:rPr>
        <w:t>清洁照护</w:t>
      </w:r>
    </w:p>
    <w:p w14:paraId="0B0C33DF">
      <w:pPr>
        <w:pStyle w:val="168"/>
        <w:rPr>
          <w:rFonts w:hint="eastAsia"/>
        </w:rPr>
      </w:pPr>
      <w:r>
        <w:rPr>
          <w:rFonts w:hint="eastAsia"/>
        </w:rPr>
        <w:t>鼓励并协助服务对象尽可能地进行自我清洁。</w:t>
      </w:r>
    </w:p>
    <w:p w14:paraId="6E2E9A78">
      <w:pPr>
        <w:pStyle w:val="168"/>
        <w:rPr>
          <w:rFonts w:hint="eastAsia"/>
        </w:rPr>
      </w:pPr>
      <w:r>
        <w:rPr>
          <w:rFonts w:hint="eastAsia"/>
        </w:rPr>
        <w:t>洗澡应在餐后至少1 h进行，过程中需注意调节室内温度和水温，并尊重服务对象的个人隐私。若服务对象健康状况不稳定或表现出抗拒情绪，应立即停止清洁照护。</w:t>
      </w:r>
    </w:p>
    <w:p w14:paraId="0CE8F119">
      <w:pPr>
        <w:pStyle w:val="168"/>
        <w:rPr>
          <w:rFonts w:hint="eastAsia"/>
        </w:rPr>
      </w:pPr>
      <w:r>
        <w:rPr>
          <w:rFonts w:hint="eastAsia"/>
        </w:rPr>
        <w:t>应确保每天至少进行两次口腔清洁，对于意识不清的服务对象，可采用口腔擦拭法。对于佩戴假牙的服务对象，应进行假牙护理。</w:t>
      </w:r>
    </w:p>
    <w:p w14:paraId="5F75F72A">
      <w:pPr>
        <w:pStyle w:val="168"/>
        <w:rPr>
          <w:rFonts w:hint="eastAsia"/>
        </w:rPr>
      </w:pPr>
      <w:r>
        <w:rPr>
          <w:rFonts w:hint="eastAsia"/>
        </w:rPr>
        <w:t>定期修剪指</w:t>
      </w:r>
      <w:r>
        <w:rPr>
          <w:rFonts w:hint="eastAsia"/>
          <w:lang w:eastAsia="zh-CN"/>
        </w:rPr>
        <w:t>（</w:t>
      </w:r>
      <w:r>
        <w:rPr>
          <w:rFonts w:hint="eastAsia"/>
        </w:rPr>
        <w:t>趾</w:t>
      </w:r>
      <w:r>
        <w:rPr>
          <w:rFonts w:hint="eastAsia"/>
          <w:lang w:eastAsia="zh-CN"/>
        </w:rPr>
        <w:t>）</w:t>
      </w:r>
      <w:r>
        <w:rPr>
          <w:rFonts w:hint="eastAsia"/>
        </w:rPr>
        <w:t>甲，防止过长。</w:t>
      </w:r>
    </w:p>
    <w:p w14:paraId="4B97F11B">
      <w:pPr>
        <w:pStyle w:val="95"/>
        <w:spacing w:before="156" w:after="156"/>
      </w:pPr>
      <w:r>
        <w:rPr>
          <w:rFonts w:hint="eastAsia"/>
        </w:rPr>
        <w:t>皮肤照护</w:t>
      </w:r>
    </w:p>
    <w:p w14:paraId="1F097366">
      <w:pPr>
        <w:pStyle w:val="168"/>
        <w:rPr>
          <w:rFonts w:hint="eastAsia"/>
        </w:rPr>
      </w:pPr>
      <w:r>
        <w:rPr>
          <w:rFonts w:hint="eastAsia"/>
        </w:rPr>
        <w:t>对于长期卧床且翻身困难的服务对象，可使用减压床垫，可在骶尾部、髋部、脚踝、足跟等易受压部位外贴泡沫敷料保护，同时放置体位枕或气垫，预防压力性损伤的发生。根据具体情况，每2至4小时协助其翻身一次，确保肢体保持功能位置。</w:t>
      </w:r>
    </w:p>
    <w:p w14:paraId="489CDAAF">
      <w:pPr>
        <w:pStyle w:val="168"/>
        <w:rPr>
          <w:rFonts w:hint="eastAsia"/>
        </w:rPr>
      </w:pPr>
      <w:r>
        <w:rPr>
          <w:rFonts w:hint="eastAsia"/>
        </w:rPr>
        <w:t>保持皮肤的清洁至关重要。若发现皮肤有破损等异常情况，应详细记录并采取适当措施处理，如有必要，应立即寻求医疗支持。</w:t>
      </w:r>
    </w:p>
    <w:p w14:paraId="447E421E">
      <w:pPr>
        <w:pStyle w:val="95"/>
        <w:spacing w:before="156" w:after="156"/>
      </w:pPr>
      <w:r>
        <w:rPr>
          <w:rFonts w:hint="eastAsia"/>
        </w:rPr>
        <w:t>睡眠照护</w:t>
      </w:r>
    </w:p>
    <w:p w14:paraId="3ABB4ADF">
      <w:pPr>
        <w:pStyle w:val="168"/>
        <w:rPr>
          <w:rFonts w:hint="eastAsia"/>
        </w:rPr>
      </w:pPr>
      <w:r>
        <w:rPr>
          <w:rFonts w:hint="eastAsia"/>
        </w:rPr>
        <w:t>应协助建立固定的起床、吃饭、休息和睡觉时间，减少情绪波动和行为模式混乱。</w:t>
      </w:r>
    </w:p>
    <w:p w14:paraId="3E341BE9">
      <w:pPr>
        <w:pStyle w:val="168"/>
        <w:rPr>
          <w:rFonts w:hint="eastAsia"/>
        </w:rPr>
      </w:pPr>
      <w:r>
        <w:rPr>
          <w:rFonts w:hint="eastAsia"/>
        </w:rPr>
        <w:t>鼓励多参与日间活动，如散步、伸展运动等，增加体力活动量，同时避免白天过度刺激。</w:t>
      </w:r>
    </w:p>
    <w:p w14:paraId="701F9DBF">
      <w:pPr>
        <w:pStyle w:val="168"/>
        <w:rPr>
          <w:rFonts w:hint="eastAsia"/>
        </w:rPr>
      </w:pPr>
      <w:r>
        <w:rPr>
          <w:rFonts w:hint="eastAsia"/>
        </w:rPr>
        <w:t>营造安静舒适的睡眠空间，确保卧室安静、光线柔和，避免强光和噪音干扰。</w:t>
      </w:r>
    </w:p>
    <w:p w14:paraId="07F39C01">
      <w:pPr>
        <w:pStyle w:val="168"/>
        <w:rPr>
          <w:rFonts w:hint="eastAsia"/>
        </w:rPr>
      </w:pPr>
      <w:r>
        <w:rPr>
          <w:rFonts w:hint="eastAsia"/>
        </w:rPr>
        <w:t>对于夜间躁动或游走的</w:t>
      </w:r>
      <w:r>
        <w:rPr>
          <w:rFonts w:hint="eastAsia"/>
          <w:lang w:eastAsia="zh-CN"/>
        </w:rPr>
        <w:t>服务对象</w:t>
      </w:r>
      <w:r>
        <w:rPr>
          <w:rFonts w:hint="eastAsia"/>
        </w:rPr>
        <w:t>，做好记录并分析原因，必要时采取防护措施，如安装防跌倒设备。</w:t>
      </w:r>
    </w:p>
    <w:p w14:paraId="27B49055">
      <w:pPr>
        <w:pStyle w:val="66"/>
        <w:spacing w:before="156" w:after="156"/>
      </w:pPr>
      <w:r>
        <w:rPr>
          <w:rFonts w:hint="eastAsia"/>
        </w:rPr>
        <w:t xml:space="preserve">认知训练 </w:t>
      </w:r>
    </w:p>
    <w:p w14:paraId="5511C8AC">
      <w:pPr>
        <w:pStyle w:val="95"/>
        <w:spacing w:before="156" w:after="156"/>
      </w:pPr>
      <w:r>
        <w:rPr>
          <w:rFonts w:hint="eastAsia"/>
        </w:rPr>
        <w:t>自理能力训练</w:t>
      </w:r>
    </w:p>
    <w:p w14:paraId="264C4661">
      <w:pPr>
        <w:pStyle w:val="57"/>
        <w:ind w:firstLine="420"/>
      </w:pPr>
      <w:r>
        <w:rPr>
          <w:rFonts w:hint="eastAsia"/>
        </w:rPr>
        <w:t>宜采用个体化照护方式，维持和改善服务对象日常生活基本功能，如洗漱、穿脱衣、进食等。</w:t>
      </w:r>
    </w:p>
    <w:p w14:paraId="5734AD30">
      <w:pPr>
        <w:pStyle w:val="95"/>
        <w:spacing w:before="156" w:after="156"/>
      </w:pPr>
      <w:r>
        <w:rPr>
          <w:rFonts w:hint="eastAsia"/>
        </w:rPr>
        <w:t>记忆力训练</w:t>
      </w:r>
    </w:p>
    <w:p w14:paraId="1AE4DBE3">
      <w:pPr>
        <w:pStyle w:val="57"/>
        <w:ind w:firstLine="420"/>
      </w:pPr>
      <w:r>
        <w:rPr>
          <w:rFonts w:hint="eastAsia"/>
        </w:rPr>
        <w:t>包括但不限于图片记忆、物品回忆、故事复述、日常生活记忆等。记忆训练应根据服务对象的认知水平选择合适的难度，从简单到复杂，循序渐进，改善服务对象短期记忆和长期记忆，延缓记忆衰退。</w:t>
      </w:r>
    </w:p>
    <w:p w14:paraId="58D457F3">
      <w:pPr>
        <w:pStyle w:val="95"/>
        <w:spacing w:before="156" w:after="156"/>
      </w:pPr>
      <w:r>
        <w:rPr>
          <w:rFonts w:hint="eastAsia"/>
        </w:rPr>
        <w:t>注意力训练</w:t>
      </w:r>
    </w:p>
    <w:p w14:paraId="653EDFDD">
      <w:pPr>
        <w:pStyle w:val="57"/>
        <w:ind w:firstLine="420"/>
      </w:pPr>
      <w:r>
        <w:rPr>
          <w:rFonts w:hint="eastAsia"/>
        </w:rPr>
        <w:t>包括但不限于图片找不同、拼图游戏、听指令做动作等。注意力训练进行时间不宜过长，以免产生疲劳，提高服务对象的注意力集中度和持久性，改善日常生活能力。</w:t>
      </w:r>
    </w:p>
    <w:p w14:paraId="381F1247">
      <w:pPr>
        <w:pStyle w:val="95"/>
        <w:spacing w:before="156" w:after="156"/>
      </w:pPr>
      <w:r>
        <w:rPr>
          <w:rFonts w:hint="eastAsia"/>
        </w:rPr>
        <w:t>执行力训练</w:t>
      </w:r>
    </w:p>
    <w:p w14:paraId="1B0D0456">
      <w:pPr>
        <w:pStyle w:val="57"/>
        <w:ind w:firstLine="420"/>
      </w:pPr>
      <w:r>
        <w:rPr>
          <w:rFonts w:hint="eastAsia"/>
        </w:rPr>
        <w:t>包括但不限于进行物品分类、模拟日常生活场景、制定日常执行计划等。执行力训练应适当鼓励服务对象，帮助其树立信心，提高服务对象判断、解决问题的能力，增强日常生活独立性。</w:t>
      </w:r>
    </w:p>
    <w:p w14:paraId="5D6C2936">
      <w:pPr>
        <w:pStyle w:val="66"/>
        <w:spacing w:before="156" w:after="156"/>
      </w:pPr>
      <w:r>
        <w:rPr>
          <w:rFonts w:hint="eastAsia"/>
        </w:rPr>
        <w:t>心理精神慰藉</w:t>
      </w:r>
    </w:p>
    <w:p w14:paraId="1975F1E2">
      <w:pPr>
        <w:pStyle w:val="165"/>
      </w:pPr>
      <w:r>
        <w:rPr>
          <w:rFonts w:hint="eastAsia"/>
        </w:rPr>
        <w:t>应给予</w:t>
      </w:r>
      <w:r>
        <w:rPr>
          <w:rFonts w:hint="eastAsia"/>
          <w:lang w:eastAsia="zh-CN"/>
        </w:rPr>
        <w:t>服务对象</w:t>
      </w:r>
      <w:r>
        <w:rPr>
          <w:rFonts w:hint="eastAsia"/>
        </w:rPr>
        <w:t>充分的关爱和支持，尊重</w:t>
      </w:r>
      <w:r>
        <w:rPr>
          <w:rFonts w:hint="eastAsia"/>
          <w:lang w:val="en-US" w:eastAsia="zh-CN"/>
        </w:rPr>
        <w:t>其</w:t>
      </w:r>
      <w:r>
        <w:rPr>
          <w:rFonts w:hint="eastAsia"/>
        </w:rPr>
        <w:t>感受和需求，建立信任关系。</w:t>
      </w:r>
    </w:p>
    <w:p w14:paraId="5CCD28D7">
      <w:pPr>
        <w:pStyle w:val="165"/>
      </w:pPr>
      <w:r>
        <w:rPr>
          <w:rFonts w:hint="eastAsia"/>
        </w:rPr>
        <w:t>通过耐心倾听、陪伴和沟通，帮助</w:t>
      </w:r>
      <w:r>
        <w:rPr>
          <w:rFonts w:hint="eastAsia"/>
          <w:lang w:eastAsia="zh-CN"/>
        </w:rPr>
        <w:t>服务对象</w:t>
      </w:r>
      <w:r>
        <w:rPr>
          <w:rFonts w:hint="eastAsia"/>
        </w:rPr>
        <w:t>缓解孤独感和焦虑情绪，协助他们缓解负面情绪，并指导他们参与一些放松身心、转移注意力的活动。</w:t>
      </w:r>
    </w:p>
    <w:p w14:paraId="45A4B3B8">
      <w:pPr>
        <w:pStyle w:val="165"/>
      </w:pPr>
      <w:r>
        <w:rPr>
          <w:rFonts w:hint="eastAsia"/>
        </w:rPr>
        <w:t>通过表扬、鼓掌或微笑等方式，给予</w:t>
      </w:r>
      <w:r>
        <w:rPr>
          <w:rFonts w:hint="eastAsia"/>
          <w:lang w:eastAsia="zh-CN"/>
        </w:rPr>
        <w:t>服务对象</w:t>
      </w:r>
      <w:r>
        <w:rPr>
          <w:rFonts w:hint="eastAsia"/>
        </w:rPr>
        <w:t>积极正面的肯定。</w:t>
      </w:r>
    </w:p>
    <w:p w14:paraId="5A8F7E19">
      <w:pPr>
        <w:pStyle w:val="165"/>
        <w:rPr>
          <w:color w:val="auto"/>
        </w:rPr>
      </w:pPr>
      <w:r>
        <w:rPr>
          <w:rFonts w:hint="eastAsia"/>
          <w:color w:val="auto"/>
          <w:lang w:val="en-US" w:eastAsia="zh-CN"/>
        </w:rPr>
        <w:t>促进</w:t>
      </w:r>
      <w:r>
        <w:rPr>
          <w:rFonts w:hint="eastAsia"/>
          <w:color w:val="auto"/>
        </w:rPr>
        <w:t>家庭成员多与</w:t>
      </w:r>
      <w:r>
        <w:rPr>
          <w:rFonts w:hint="eastAsia"/>
          <w:color w:val="auto"/>
          <w:lang w:val="en-US" w:eastAsia="zh-CN"/>
        </w:rPr>
        <w:t>服务对象</w:t>
      </w:r>
      <w:r>
        <w:rPr>
          <w:rFonts w:hint="eastAsia"/>
          <w:color w:val="auto"/>
        </w:rPr>
        <w:t>互动，如共同进餐、聊天等，增强</w:t>
      </w:r>
      <w:r>
        <w:rPr>
          <w:rFonts w:hint="eastAsia"/>
          <w:lang w:eastAsia="zh-CN"/>
        </w:rPr>
        <w:t>服务对象</w:t>
      </w:r>
      <w:r>
        <w:rPr>
          <w:rFonts w:hint="eastAsia"/>
          <w:lang w:val="en-US" w:eastAsia="zh-CN"/>
        </w:rPr>
        <w:t>的</w:t>
      </w:r>
      <w:r>
        <w:rPr>
          <w:rFonts w:hint="eastAsia"/>
          <w:color w:val="auto"/>
        </w:rPr>
        <w:t>归属感和安全感。</w:t>
      </w:r>
    </w:p>
    <w:p w14:paraId="4DE56045">
      <w:pPr>
        <w:pStyle w:val="66"/>
        <w:spacing w:before="156" w:after="156"/>
      </w:pPr>
      <w:r>
        <w:rPr>
          <w:rFonts w:hint="eastAsia"/>
        </w:rPr>
        <w:t>精神行为症状照护</w:t>
      </w:r>
    </w:p>
    <w:p w14:paraId="73AB1313">
      <w:pPr>
        <w:pStyle w:val="165"/>
      </w:pPr>
      <w:r>
        <w:rPr>
          <w:rFonts w:hint="eastAsia"/>
        </w:rPr>
        <w:t>服务对象</w:t>
      </w:r>
      <w:r>
        <w:t>精神行为症状主要包括</w:t>
      </w:r>
      <w:r>
        <w:rPr>
          <w:rFonts w:hint="eastAsia"/>
        </w:rPr>
        <w:t>猜疑、妄想、幻觉、</w:t>
      </w:r>
      <w:r>
        <w:t>抑郁/心境恶劣、焦虑、欣快、</w:t>
      </w:r>
      <w:r>
        <w:rPr>
          <w:rFonts w:hint="eastAsia"/>
        </w:rPr>
        <w:t>睡眠紊乱、游走、</w:t>
      </w:r>
      <w:r>
        <w:t>易激惹</w:t>
      </w:r>
      <w:r>
        <w:rPr>
          <w:rFonts w:hint="eastAsia"/>
        </w:rPr>
        <w:t>、</w:t>
      </w:r>
      <w:r>
        <w:t>激越/攻击</w:t>
      </w:r>
      <w:r>
        <w:rPr>
          <w:rFonts w:hint="eastAsia"/>
        </w:rPr>
        <w:t>、进食障碍</w:t>
      </w:r>
      <w:r>
        <w:t>等。</w:t>
      </w:r>
    </w:p>
    <w:p w14:paraId="0507C235">
      <w:pPr>
        <w:pStyle w:val="165"/>
      </w:pPr>
      <w:r>
        <w:rPr>
          <w:rFonts w:hint="eastAsia"/>
        </w:rPr>
        <w:t>服务对象出现猜疑或</w:t>
      </w:r>
      <w:r>
        <w:t>妄想</w:t>
      </w:r>
      <w:r>
        <w:rPr>
          <w:rFonts w:hint="eastAsia"/>
        </w:rPr>
        <w:t>时，服务人员应避免与之争论或解释，</w:t>
      </w:r>
      <w:r>
        <w:t>可通过言语和行为的方式给予支持，如给其</w:t>
      </w:r>
      <w:r>
        <w:rPr>
          <w:rFonts w:hint="eastAsia"/>
          <w:lang w:eastAsia="zh-CN"/>
        </w:rPr>
        <w:t>“</w:t>
      </w:r>
      <w:r>
        <w:t>银行存折</w:t>
      </w:r>
      <w:r>
        <w:rPr>
          <w:rFonts w:hint="eastAsia"/>
          <w:lang w:eastAsia="zh-CN"/>
        </w:rPr>
        <w:t>”</w:t>
      </w:r>
      <w:r>
        <w:t>或</w:t>
      </w:r>
      <w:r>
        <w:rPr>
          <w:rFonts w:hint="eastAsia"/>
          <w:lang w:eastAsia="zh-CN"/>
        </w:rPr>
        <w:t>“</w:t>
      </w:r>
      <w:r>
        <w:t>失窃的钱财</w:t>
      </w:r>
      <w:r>
        <w:rPr>
          <w:rFonts w:hint="eastAsia"/>
          <w:lang w:eastAsia="zh-CN"/>
        </w:rPr>
        <w:t>”</w:t>
      </w:r>
      <w:r>
        <w:t>等</w:t>
      </w:r>
      <w:r>
        <w:rPr>
          <w:rFonts w:hint="eastAsia"/>
          <w:lang w:eastAsia="zh-CN"/>
        </w:rPr>
        <w:t>；</w:t>
      </w:r>
      <w:r>
        <w:t>也可以通过音乐、艺术和认知疗法等非药物手段干预。</w:t>
      </w:r>
    </w:p>
    <w:p w14:paraId="15B219F0">
      <w:pPr>
        <w:pStyle w:val="165"/>
      </w:pPr>
      <w:r>
        <w:rPr>
          <w:rFonts w:hint="eastAsia"/>
        </w:rPr>
        <w:t>服务对象出现</w:t>
      </w:r>
      <w:r>
        <w:t>幻觉</w:t>
      </w:r>
      <w:r>
        <w:rPr>
          <w:rFonts w:hint="eastAsia"/>
        </w:rPr>
        <w:t>时，服务人员</w:t>
      </w:r>
      <w:r>
        <w:t>可</w:t>
      </w:r>
      <w:r>
        <w:rPr>
          <w:rFonts w:hint="eastAsia"/>
        </w:rPr>
        <w:t>通过</w:t>
      </w:r>
      <w:r>
        <w:t>细致的观察和记录发现幻觉的发生规律，温和对待</w:t>
      </w:r>
      <w:r>
        <w:rPr>
          <w:rFonts w:hint="eastAsia"/>
        </w:rPr>
        <w:t>服务对象</w:t>
      </w:r>
      <w:r>
        <w:t>、转移其注意力、减少敌对和不信任感均有助于缓解症状。对有视听觉障碍者佩戴眼镜和助听器</w:t>
      </w:r>
      <w:r>
        <w:rPr>
          <w:rFonts w:hint="eastAsia"/>
          <w:lang w:eastAsia="zh-CN"/>
        </w:rPr>
        <w:t>；</w:t>
      </w:r>
      <w:r>
        <w:t>保管好刀、剪、绳等危险物品,远离煤气</w:t>
      </w:r>
      <w:r>
        <w:rPr>
          <w:rFonts w:hint="eastAsia"/>
          <w:lang w:eastAsia="zh-CN"/>
        </w:rPr>
        <w:t>，</w:t>
      </w:r>
      <w:r>
        <w:t>关闭门窗，防范意外发生。</w:t>
      </w:r>
    </w:p>
    <w:p w14:paraId="6C99C5E1">
      <w:pPr>
        <w:pStyle w:val="165"/>
      </w:pPr>
      <w:r>
        <w:rPr>
          <w:rFonts w:hint="eastAsia"/>
        </w:rPr>
        <w:t>对于有</w:t>
      </w:r>
      <w:r>
        <w:t>抑郁/心境恶劣</w:t>
      </w:r>
      <w:r>
        <w:rPr>
          <w:rFonts w:hint="eastAsia"/>
        </w:rPr>
        <w:t>，出现自杀念头的服务对象，应深入了解其自杀的直接原因，注意识别自杀的预警信号，及时进行心理疏导，告知家属或亲近的朋友给予安慰和开导，同时采取措施阻断自杀途径。对于自杀倾向严重的个体，应实施24 h不间断监护，并在必要时迅速送医治疗。</w:t>
      </w:r>
    </w:p>
    <w:p w14:paraId="624943B2">
      <w:pPr>
        <w:pStyle w:val="165"/>
      </w:pPr>
      <w:r>
        <w:rPr>
          <w:rFonts w:hint="eastAsia"/>
        </w:rPr>
        <w:t>服务对象出现焦虑、欣快、睡眠紊乱，游走行为时，不</w:t>
      </w:r>
      <w:r>
        <w:rPr>
          <w:rFonts w:hint="eastAsia"/>
          <w:lang w:eastAsia="zh-CN"/>
        </w:rPr>
        <w:t>应</w:t>
      </w:r>
      <w:r>
        <w:rPr>
          <w:rFonts w:hint="eastAsia"/>
        </w:rPr>
        <w:t>强行阻止，而是平静地陪伴在旁，询问需求，做好安抚。隔离危险物品如尖锐用品、洗涤用品、易燃易爆物品、电器等，确保环境安全：确保门窗锁好，安装感应警报器或门铃，防止走失。</w:t>
      </w:r>
    </w:p>
    <w:p w14:paraId="2FB6E05A">
      <w:pPr>
        <w:pStyle w:val="165"/>
      </w:pPr>
      <w:r>
        <w:rPr>
          <w:rFonts w:hint="eastAsia"/>
        </w:rPr>
        <w:t>服务对象出现</w:t>
      </w:r>
      <w:r>
        <w:t>激越/攻击行为</w:t>
      </w:r>
      <w:r>
        <w:rPr>
          <w:rFonts w:hint="eastAsia"/>
        </w:rPr>
        <w:t>，</w:t>
      </w:r>
      <w:r>
        <w:t>不假思考地冲动行事、讲粗话、语出伤人等表现</w:t>
      </w:r>
      <w:r>
        <w:rPr>
          <w:rFonts w:hint="eastAsia"/>
        </w:rPr>
        <w:t>时，</w:t>
      </w:r>
      <w:r>
        <w:t>首先</w:t>
      </w:r>
      <w:r>
        <w:rPr>
          <w:rFonts w:hint="eastAsia"/>
        </w:rPr>
        <w:t>查找引出</w:t>
      </w:r>
      <w:r>
        <w:t>激越/攻击行为的躯体原因和诱发</w:t>
      </w:r>
      <w:r>
        <w:rPr>
          <w:rFonts w:hint="eastAsia"/>
        </w:rPr>
        <w:t>服务对象</w:t>
      </w:r>
      <w:r>
        <w:t>不愉快的环境因素，以疏导、解释或转移注意力等方式使之安静下来。在不限制行动的同时，做好安全防护工作</w:t>
      </w:r>
      <w:r>
        <w:rPr>
          <w:rFonts w:hint="eastAsia"/>
          <w:lang w:eastAsia="zh-CN"/>
        </w:rPr>
        <w:t>；</w:t>
      </w:r>
      <w:r>
        <w:t>丰富的游戏活动、音乐疗法、触摸疗法以及芳香疗法、光照疗法等均能减轻激越症状，减少攻击行为</w:t>
      </w:r>
      <w:r>
        <w:rPr>
          <w:rFonts w:hint="eastAsia"/>
        </w:rPr>
        <w:t>，并在必要时考虑使用身体约束或寻求专业医疗机构帮助，及时就医。</w:t>
      </w:r>
    </w:p>
    <w:p w14:paraId="15C9AAA0">
      <w:pPr>
        <w:pStyle w:val="165"/>
      </w:pPr>
      <w:r>
        <w:rPr>
          <w:rFonts w:hint="eastAsia"/>
        </w:rPr>
        <w:t>遵医嘱用药，确保按时服药，注意药物副作用，及时与医生沟通。</w:t>
      </w:r>
    </w:p>
    <w:p w14:paraId="74A36C00">
      <w:pPr>
        <w:pStyle w:val="165"/>
      </w:pPr>
      <w:r>
        <w:rPr>
          <w:rFonts w:hint="eastAsia"/>
        </w:rPr>
        <w:t>在精神行为症状的照护工作完成后，应评估服务对象的精神行为症状是否有所减轻。如果其情绪难以立即控制、攻击行为难以迅速平息，或发生了伤人、自伤事件，应立即启动应急预案，并及时转介神经内科或精神科专科处理，寻求医疗支持。</w:t>
      </w:r>
    </w:p>
    <w:p w14:paraId="3C733ED3">
      <w:pPr>
        <w:pStyle w:val="106"/>
        <w:spacing w:before="156" w:after="156"/>
      </w:pPr>
      <w:r>
        <w:rPr>
          <w:rFonts w:hint="eastAsia"/>
        </w:rPr>
        <w:t>安全照护</w:t>
      </w:r>
    </w:p>
    <w:p w14:paraId="2C3E0430">
      <w:pPr>
        <w:pStyle w:val="66"/>
        <w:spacing w:before="156" w:after="156"/>
      </w:pPr>
      <w:r>
        <w:rPr>
          <w:rFonts w:hint="eastAsia"/>
        </w:rPr>
        <w:t>防噎食和误吸管理</w:t>
      </w:r>
    </w:p>
    <w:p w14:paraId="62336F9D">
      <w:pPr>
        <w:pStyle w:val="165"/>
      </w:pPr>
      <w:r>
        <w:rPr>
          <w:rFonts w:hint="eastAsia"/>
        </w:rPr>
        <w:t>应为服务对象提供合适的食物，按照标准喂食的要求协助喂食，喂食后清洁口腔残留，促进吞咽，并观察进食过程中出现的咳嗽、清嗓子、食物从嘴角漏出、拒食、声音嘶哑等危险信号。</w:t>
      </w:r>
    </w:p>
    <w:p w14:paraId="6A4DD37E">
      <w:pPr>
        <w:pStyle w:val="165"/>
      </w:pPr>
      <w:r>
        <w:rPr>
          <w:rFonts w:hint="eastAsia"/>
        </w:rPr>
        <w:t>一旦发生严重噎食，服务对象表现为双手掐住脖子、无法咳嗽、面色发青，必须立即呼叫急救（120），并同时实施急救。</w:t>
      </w:r>
    </w:p>
    <w:p w14:paraId="46B77379">
      <w:pPr>
        <w:pStyle w:val="66"/>
        <w:spacing w:before="156" w:after="156"/>
      </w:pPr>
      <w:r>
        <w:rPr>
          <w:rFonts w:hint="eastAsia"/>
        </w:rPr>
        <w:t>防烫伤管理</w:t>
      </w:r>
    </w:p>
    <w:p w14:paraId="06D5B59D">
      <w:pPr>
        <w:pStyle w:val="165"/>
      </w:pPr>
      <w:r>
        <w:t>应为服务对象提供温度适宜的食物和水。</w:t>
      </w:r>
    </w:p>
    <w:p w14:paraId="4FA4F48B">
      <w:pPr>
        <w:pStyle w:val="165"/>
      </w:pPr>
      <w:r>
        <w:t>避免让服务对象独自承担倒开水、做饭等家务</w:t>
      </w:r>
      <w:r>
        <w:rPr>
          <w:rFonts w:hint="eastAsia"/>
        </w:rPr>
        <w:t>。</w:t>
      </w:r>
    </w:p>
    <w:p w14:paraId="06464E4B">
      <w:pPr>
        <w:pStyle w:val="165"/>
      </w:pPr>
      <w:r>
        <w:t xml:space="preserve">服务对象沐浴时应协助调好水温并有人陪伴。 </w:t>
      </w:r>
    </w:p>
    <w:p w14:paraId="523645E6">
      <w:pPr>
        <w:pStyle w:val="165"/>
      </w:pPr>
      <w:r>
        <w:t>避免服务对象使用暖宝、热水袋、电暖气等发热物品。</w:t>
      </w:r>
    </w:p>
    <w:p w14:paraId="07245A4E">
      <w:pPr>
        <w:pStyle w:val="66"/>
        <w:spacing w:before="156" w:after="156"/>
      </w:pPr>
      <w:r>
        <w:rPr>
          <w:rFonts w:hint="eastAsia"/>
        </w:rPr>
        <w:t>防跌倒管理</w:t>
      </w:r>
    </w:p>
    <w:p w14:paraId="18A91C55">
      <w:pPr>
        <w:pStyle w:val="165"/>
      </w:pPr>
      <w:r>
        <w:rPr>
          <w:rFonts w:hint="eastAsia"/>
        </w:rPr>
        <w:t>保持居住环境的简洁，减少杂物，确保空间宽敞，地面铺设防滑垫，服务对象穿着防滑鞋，以及合适的衣物。</w:t>
      </w:r>
    </w:p>
    <w:p w14:paraId="2AB0B2FC">
      <w:pPr>
        <w:pStyle w:val="165"/>
      </w:pPr>
      <w:r>
        <w:rPr>
          <w:rFonts w:hint="eastAsia"/>
        </w:rPr>
        <w:t>若发现服务对象跌倒，应立即评估伤势，协助其止血、固定骨折部位，然后根据情况决定是否需要就医。</w:t>
      </w:r>
    </w:p>
    <w:p w14:paraId="57CF39AC">
      <w:pPr>
        <w:pStyle w:val="66"/>
        <w:spacing w:before="156" w:after="156"/>
      </w:pPr>
      <w:r>
        <w:rPr>
          <w:rFonts w:hint="eastAsia"/>
        </w:rPr>
        <w:t>防走失管理</w:t>
      </w:r>
    </w:p>
    <w:p w14:paraId="43E46A4E">
      <w:pPr>
        <w:pStyle w:val="165"/>
      </w:pPr>
      <w:r>
        <w:rPr>
          <w:rFonts w:hint="eastAsia"/>
        </w:rPr>
        <w:t>选择服务对象难以开启的门锁；使用定位设备（如智能手表、GPS定位器、防走失手环等），实时监控易走失人群的位置；在</w:t>
      </w:r>
      <w:r>
        <w:rPr>
          <w:rFonts w:hint="eastAsia"/>
          <w:lang w:eastAsia="zh-CN"/>
        </w:rPr>
        <w:t>服务</w:t>
      </w:r>
      <w:r>
        <w:rPr>
          <w:rFonts w:hint="eastAsia"/>
        </w:rPr>
        <w:t>对象衣物上缝制带有家庭信息的字条或制作身份卡，以便在走失后快速识别等等。</w:t>
      </w:r>
    </w:p>
    <w:p w14:paraId="2CCEFE9D">
      <w:pPr>
        <w:pStyle w:val="165"/>
      </w:pPr>
      <w:r>
        <w:rPr>
          <w:rFonts w:hint="eastAsia"/>
        </w:rPr>
        <w:t>制定走失应急计划，确保在突发情况下及时应对。若发现服务对象走失，应立即通知社区工作人员并寻求帮助，必要时应报警，同时利用网络平台扩散信息。</w:t>
      </w:r>
    </w:p>
    <w:p w14:paraId="1C0AA36E">
      <w:pPr>
        <w:pStyle w:val="66"/>
        <w:spacing w:before="156" w:after="156"/>
      </w:pPr>
      <w:r>
        <w:rPr>
          <w:rFonts w:hint="eastAsia"/>
        </w:rPr>
        <w:t>危险物品管理</w:t>
      </w:r>
    </w:p>
    <w:p w14:paraId="5F2C76FF">
      <w:pPr>
        <w:pStyle w:val="165"/>
      </w:pPr>
      <w:r>
        <w:rPr>
          <w:rFonts w:hint="eastAsia"/>
        </w:rPr>
        <w:t>将有毒、有害、锐利或易碎物品妥善隐藏，避免服务对象接触。</w:t>
      </w:r>
    </w:p>
    <w:p w14:paraId="47DDEBC7">
      <w:pPr>
        <w:pStyle w:val="165"/>
      </w:pPr>
      <w:r>
        <w:rPr>
          <w:rFonts w:hint="eastAsia"/>
        </w:rPr>
        <w:t>按照药物说明书的储存条件妥善保存药品，定期检查药品的有效期，并及时处理过期药品。</w:t>
      </w:r>
    </w:p>
    <w:p w14:paraId="27AB14A6">
      <w:pPr>
        <w:pStyle w:val="165"/>
      </w:pPr>
      <w:r>
        <w:rPr>
          <w:rFonts w:hint="eastAsia"/>
        </w:rPr>
        <w:t>若服务对象误食或误饮，应立即确认误食误饮的物品和摄入量，密切观察其生命体征和症状变化，并迅速就医。</w:t>
      </w:r>
    </w:p>
    <w:p w14:paraId="6943F899">
      <w:pPr>
        <w:pStyle w:val="66"/>
        <w:spacing w:before="156" w:after="156"/>
      </w:pPr>
      <w:r>
        <w:rPr>
          <w:rFonts w:hint="eastAsia"/>
        </w:rPr>
        <w:t>用药安全管理</w:t>
      </w:r>
    </w:p>
    <w:p w14:paraId="6FA4ECAE">
      <w:pPr>
        <w:pStyle w:val="165"/>
      </w:pPr>
      <w:r>
        <w:rPr>
          <w:rFonts w:hint="eastAsia"/>
        </w:rPr>
        <w:t xml:space="preserve">确保按时按量服药：使用药盒或提醒设备（如手机闹钟、智能药盒），帮助服务对象在规定时间服用正确剂量的药物。  </w:t>
      </w:r>
    </w:p>
    <w:p w14:paraId="2518CD04">
      <w:pPr>
        <w:pStyle w:val="165"/>
      </w:pPr>
      <w:r>
        <w:rPr>
          <w:rFonts w:hint="eastAsia"/>
        </w:rPr>
        <w:t xml:space="preserve">监控药物反应：观察服务对象服药后的异常反应，如皮疹、头晕或胃肠不适等，并及时咨询医疗专业人员调整用药方案。  </w:t>
      </w:r>
    </w:p>
    <w:p w14:paraId="437DEB65">
      <w:pPr>
        <w:pStyle w:val="165"/>
      </w:pPr>
      <w:r>
        <w:rPr>
          <w:rFonts w:hint="eastAsia"/>
        </w:rPr>
        <w:t xml:space="preserve">处理服药错误：若发生漏服、多服或误服药物，立即评估摄入量和潜在风险，根据医生指导采取补救措施（如补充剂量或暂停服药），必要时紧急就医并携带药品包装。  </w:t>
      </w:r>
    </w:p>
    <w:p w14:paraId="50BC4C78">
      <w:pPr>
        <w:pStyle w:val="106"/>
        <w:spacing w:before="156" w:after="156"/>
      </w:pPr>
      <w:r>
        <w:rPr>
          <w:rFonts w:hint="eastAsia"/>
        </w:rPr>
        <w:t xml:space="preserve">社会支持服务  </w:t>
      </w:r>
    </w:p>
    <w:p w14:paraId="62CE7C12">
      <w:pPr>
        <w:pStyle w:val="66"/>
        <w:spacing w:before="156" w:after="156"/>
      </w:pPr>
      <w:r>
        <w:rPr>
          <w:rFonts w:hint="eastAsia"/>
        </w:rPr>
        <w:t>社区资源连接</w:t>
      </w:r>
    </w:p>
    <w:p w14:paraId="267AAEA2">
      <w:pPr>
        <w:pStyle w:val="57"/>
        <w:ind w:firstLine="420"/>
      </w:pPr>
      <w:r>
        <w:rPr>
          <w:rFonts w:hint="eastAsia"/>
        </w:rPr>
        <w:t xml:space="preserve">协助服务对象访问本地社区服务（如老年活动中心、志愿者组织或交通援助），确保获得必要的生活支持和社交机会，定期更新资源清单以匹配其需求变化。  </w:t>
      </w:r>
    </w:p>
    <w:p w14:paraId="4B8A4C80">
      <w:pPr>
        <w:pStyle w:val="66"/>
        <w:spacing w:before="156" w:after="156"/>
      </w:pPr>
      <w:r>
        <w:rPr>
          <w:rFonts w:hint="eastAsia"/>
        </w:rPr>
        <w:t>情感支持提供</w:t>
      </w:r>
    </w:p>
    <w:p w14:paraId="13A5A790">
      <w:pPr>
        <w:pStyle w:val="57"/>
        <w:ind w:firstLine="420"/>
      </w:pPr>
      <w:r>
        <w:rPr>
          <w:rFonts w:hint="eastAsia"/>
        </w:rPr>
        <w:t xml:space="preserve">安排社工或支持小组活动，帮助服务对象缓解孤独、抑郁等情绪问题，并鼓励家庭成员参与情感互动，以增强心理韧性。  </w:t>
      </w:r>
    </w:p>
    <w:p w14:paraId="551A09B7">
      <w:pPr>
        <w:pStyle w:val="66"/>
        <w:spacing w:before="156" w:after="156"/>
      </w:pPr>
      <w:r>
        <w:rPr>
          <w:rFonts w:hint="eastAsia"/>
        </w:rPr>
        <w:t>照护者支持</w:t>
      </w:r>
    </w:p>
    <w:p w14:paraId="222AE6F9">
      <w:pPr>
        <w:pStyle w:val="165"/>
        <w:bidi w:val="0"/>
        <w:rPr>
          <w:rFonts w:hint="eastAsia"/>
          <w:lang w:eastAsia="zh-CN"/>
        </w:rPr>
      </w:pPr>
      <w:r>
        <w:rPr>
          <w:rFonts w:hint="eastAsia"/>
        </w:rPr>
        <w:t>为家属和主要照护者提供照护服务理论知识和操作技能的培训指导，提升其照护能力</w:t>
      </w:r>
      <w:r>
        <w:rPr>
          <w:rFonts w:hint="eastAsia"/>
          <w:lang w:eastAsia="zh-CN"/>
        </w:rPr>
        <w:t>。</w:t>
      </w:r>
    </w:p>
    <w:p w14:paraId="387C072E">
      <w:pPr>
        <w:pStyle w:val="165"/>
        <w:bidi w:val="0"/>
        <w:rPr>
          <w:rFonts w:hint="eastAsia"/>
          <w:lang w:eastAsia="zh-CN"/>
        </w:rPr>
      </w:pPr>
      <w:r>
        <w:rPr>
          <w:rFonts w:hint="eastAsia"/>
          <w:lang w:eastAsia="zh-CN"/>
        </w:rPr>
        <w:t>定期对照护者进行压力评估，必要时提供支持。</w:t>
      </w:r>
    </w:p>
    <w:p w14:paraId="663ABD49">
      <w:pPr>
        <w:pStyle w:val="165"/>
        <w:bidi w:val="0"/>
      </w:pPr>
      <w:r>
        <w:rPr>
          <w:rFonts w:hint="eastAsia"/>
        </w:rPr>
        <w:t>建立家庭支持网络以分担照护负担，为有需要的照护者提供喘息</w:t>
      </w:r>
      <w:r>
        <w:rPr>
          <w:rFonts w:hint="eastAsia"/>
          <w:lang w:eastAsia="zh-CN"/>
        </w:rPr>
        <w:t>服务</w:t>
      </w:r>
      <w:r>
        <w:rPr>
          <w:rFonts w:hint="eastAsia"/>
        </w:rPr>
        <w:t>及转介服务，引导其主动寻求可利用的社会支持</w:t>
      </w:r>
      <w:r>
        <w:rPr>
          <w:rFonts w:hint="eastAsia"/>
          <w:lang w:eastAsia="zh-CN"/>
        </w:rPr>
        <w:t>。</w:t>
      </w:r>
    </w:p>
    <w:p w14:paraId="62F3997B">
      <w:pPr>
        <w:pStyle w:val="165"/>
        <w:bidi w:val="0"/>
      </w:pPr>
      <w:r>
        <w:rPr>
          <w:rFonts w:hint="eastAsia"/>
          <w:lang w:val="en-US" w:eastAsia="zh-CN"/>
        </w:rPr>
        <w:t>对涉及有关照护者人身安全问题的活动进行安全评估，</w:t>
      </w:r>
      <w:r>
        <w:rPr>
          <w:rFonts w:hint="eastAsia"/>
        </w:rPr>
        <w:t>关注照护者的职业健康及职业安全防护，维护其身心健康。</w:t>
      </w:r>
    </w:p>
    <w:p w14:paraId="44A0301B">
      <w:pPr>
        <w:pStyle w:val="66"/>
        <w:bidi w:val="0"/>
      </w:pPr>
      <w:r>
        <w:rPr>
          <w:rFonts w:hint="eastAsia"/>
          <w:lang w:eastAsia="zh-CN"/>
        </w:rPr>
        <w:t>居家环境适老化改造</w:t>
      </w:r>
    </w:p>
    <w:p w14:paraId="0BFE569A">
      <w:pPr>
        <w:pStyle w:val="57"/>
        <w:bidi w:val="0"/>
        <w:rPr>
          <w:rFonts w:hint="eastAsia" w:ascii="宋体" w:hAnsi="宋体" w:eastAsia="宋体" w:cs="宋体"/>
        </w:rPr>
      </w:pPr>
      <w:r>
        <w:rPr>
          <w:rFonts w:hint="eastAsia" w:ascii="宋体" w:hAnsi="宋体" w:eastAsia="宋体" w:cs="宋体"/>
        </w:rPr>
        <w:t>宜对认知障碍</w:t>
      </w:r>
      <w:r>
        <w:rPr>
          <w:rFonts w:hint="eastAsia" w:ascii="宋体" w:hAnsi="宋体" w:eastAsia="宋体" w:cs="宋体"/>
          <w:lang w:eastAsia="zh-CN"/>
        </w:rPr>
        <w:t>老年人</w:t>
      </w:r>
      <w:r>
        <w:rPr>
          <w:rFonts w:hint="eastAsia" w:ascii="宋体" w:hAnsi="宋体" w:eastAsia="宋体" w:cs="宋体"/>
        </w:rPr>
        <w:t>居家环境进行适老化改造，按MZ/T 218的有关规定执行。</w:t>
      </w:r>
    </w:p>
    <w:p w14:paraId="684EAD46">
      <w:pPr>
        <w:pStyle w:val="66"/>
        <w:bidi w:val="0"/>
      </w:pPr>
      <w:r>
        <w:rPr>
          <w:rFonts w:hint="eastAsia"/>
          <w:lang w:val="en-US" w:eastAsia="zh-CN"/>
        </w:rPr>
        <w:t>信息化支持</w:t>
      </w:r>
    </w:p>
    <w:p w14:paraId="04E8E8D5">
      <w:pPr>
        <w:pStyle w:val="165"/>
        <w:bidi w:val="0"/>
        <w:rPr>
          <w:rFonts w:hint="default"/>
          <w:lang w:val="en-US" w:eastAsia="zh-CN"/>
        </w:rPr>
      </w:pPr>
      <w:r>
        <w:rPr>
          <w:rFonts w:hint="eastAsia"/>
          <w:lang w:val="en-US" w:eastAsia="zh-CN"/>
        </w:rPr>
        <w:t>梳理社区养老服务资源，制作认知障碍老年人服务电子化地图，宜通过信息化平台实现社区、服务机构、老年人家庭之间的信息共享。</w:t>
      </w:r>
    </w:p>
    <w:p w14:paraId="19CDAF57">
      <w:pPr>
        <w:pStyle w:val="165"/>
        <w:bidi w:val="0"/>
        <w:rPr>
          <w:rFonts w:hint="eastAsia"/>
          <w:lang w:val="en-US" w:eastAsia="zh-CN"/>
        </w:rPr>
      </w:pPr>
      <w:r>
        <w:rPr>
          <w:rFonts w:hint="eastAsia"/>
          <w:lang w:val="en-US" w:eastAsia="zh-CN"/>
        </w:rPr>
        <w:t>宜结合城市管理信息平台等建立认知照护社区防走失系统，对认知障碍老年人走失或出现异常情况进行提示。</w:t>
      </w:r>
    </w:p>
    <w:p w14:paraId="3653E205">
      <w:pPr>
        <w:pStyle w:val="105"/>
        <w:spacing w:before="312" w:after="312"/>
      </w:pPr>
      <w:r>
        <w:rPr>
          <w:rFonts w:hint="eastAsia"/>
        </w:rPr>
        <w:t>服务评价与改进</w:t>
      </w:r>
    </w:p>
    <w:p w14:paraId="4B12A797">
      <w:pPr>
        <w:pStyle w:val="106"/>
        <w:spacing w:before="156" w:after="156"/>
      </w:pPr>
      <w:r>
        <w:rPr>
          <w:rFonts w:hint="eastAsia"/>
        </w:rPr>
        <w:t>服务评价</w:t>
      </w:r>
    </w:p>
    <w:p w14:paraId="25B43A87">
      <w:pPr>
        <w:pStyle w:val="166"/>
      </w:pPr>
      <w:r>
        <w:rPr>
          <w:rFonts w:hint="eastAsia"/>
        </w:rPr>
        <w:t>通过满意度评价、意见反馈等方式，建立完善的照护服务的内外监督与评价机制。</w:t>
      </w:r>
    </w:p>
    <w:p w14:paraId="0E360B63">
      <w:pPr>
        <w:pStyle w:val="166"/>
      </w:pPr>
      <w:r>
        <w:rPr>
          <w:rFonts w:hint="eastAsia"/>
          <w:lang w:val="en-US" w:eastAsia="zh-CN"/>
        </w:rPr>
        <w:t>应</w:t>
      </w:r>
      <w:r>
        <w:rPr>
          <w:rFonts w:hint="eastAsia"/>
        </w:rPr>
        <w:t>定期开展服务评价，评价方式包括但不限于自我评价、服务对象评价、第三方评价。</w:t>
      </w:r>
    </w:p>
    <w:p w14:paraId="4A5F8D3C">
      <w:pPr>
        <w:pStyle w:val="166"/>
      </w:pPr>
      <w:r>
        <w:rPr>
          <w:rFonts w:hint="eastAsia"/>
          <w:lang w:val="en-US" w:eastAsia="zh-CN"/>
        </w:rPr>
        <w:t>应</w:t>
      </w:r>
      <w:r>
        <w:rPr>
          <w:rFonts w:hint="eastAsia"/>
        </w:rPr>
        <w:t>建立投诉反馈渠道，</w:t>
      </w:r>
      <w:r>
        <w:rPr>
          <w:rFonts w:hint="eastAsia"/>
          <w:lang w:val="en-US" w:eastAsia="zh-CN"/>
        </w:rPr>
        <w:t>对收到的服务投诉和建议及时回应和反馈</w:t>
      </w:r>
      <w:r>
        <w:rPr>
          <w:rFonts w:hint="eastAsia"/>
        </w:rPr>
        <w:t>。</w:t>
      </w:r>
    </w:p>
    <w:p w14:paraId="4EBA2072">
      <w:pPr>
        <w:pStyle w:val="106"/>
        <w:spacing w:before="156" w:after="156"/>
      </w:pPr>
      <w:r>
        <w:rPr>
          <w:rFonts w:hint="eastAsia"/>
        </w:rPr>
        <w:t>服务改进</w:t>
      </w:r>
    </w:p>
    <w:p w14:paraId="557B9399">
      <w:pPr>
        <w:pStyle w:val="166"/>
      </w:pPr>
      <w:r>
        <w:rPr>
          <w:rFonts w:hint="eastAsia"/>
        </w:rPr>
        <w:t>保障和监督照护服务质量，逐步完善</w:t>
      </w:r>
      <w:r>
        <w:rPr>
          <w:rFonts w:hint="eastAsia"/>
          <w:color w:val="auto"/>
          <w:lang w:val="en-US" w:eastAsia="zh-CN"/>
        </w:rPr>
        <w:t>社区</w:t>
      </w:r>
      <w:r>
        <w:rPr>
          <w:rFonts w:hint="eastAsia"/>
          <w:color w:val="auto"/>
        </w:rPr>
        <w:t>认知障碍照护服务团队</w:t>
      </w:r>
      <w:r>
        <w:rPr>
          <w:rFonts w:hint="eastAsia"/>
        </w:rPr>
        <w:t>、服务流程等。</w:t>
      </w:r>
    </w:p>
    <w:p w14:paraId="00DA3ACA">
      <w:pPr>
        <w:pStyle w:val="166"/>
      </w:pPr>
      <w:r>
        <w:rPr>
          <w:rFonts w:hint="eastAsia"/>
        </w:rPr>
        <w:t>及时处理并上报照护服务过程中出现的问题，查找原因，持续改进。</w:t>
      </w:r>
    </w:p>
    <w:p w14:paraId="3C33F062">
      <w:pPr>
        <w:pStyle w:val="57"/>
        <w:ind w:firstLine="420"/>
        <w:sectPr>
          <w:pgSz w:w="11906" w:h="16838"/>
          <w:pgMar w:top="1928" w:right="1134" w:bottom="1134" w:left="1134" w:header="1418" w:footer="1134" w:gutter="284"/>
          <w:pgNumType w:start="1"/>
          <w:cols w:space="425" w:num="1"/>
          <w:formProt w:val="0"/>
          <w:docGrid w:type="lines" w:linePitch="312" w:charSpace="0"/>
        </w:sectPr>
      </w:pPr>
    </w:p>
    <w:bookmarkEnd w:id="21"/>
    <w:p w14:paraId="675EFBA1">
      <w:pPr>
        <w:pStyle w:val="199"/>
        <w:rPr>
          <w:rFonts w:hint="eastAsia"/>
        </w:rPr>
      </w:pPr>
      <w:bookmarkStart w:id="49" w:name="BookMark5"/>
    </w:p>
    <w:p w14:paraId="41E840A1">
      <w:pPr>
        <w:pStyle w:val="200"/>
      </w:pPr>
    </w:p>
    <w:p w14:paraId="060444F9">
      <w:pPr>
        <w:pStyle w:val="77"/>
        <w:spacing w:after="156"/>
      </w:pPr>
      <w:r>
        <w:br w:type="textWrapping"/>
      </w:r>
      <w:r>
        <w:rPr>
          <w:rFonts w:hint="eastAsia"/>
        </w:rPr>
        <w:t>（资料性）</w:t>
      </w:r>
      <w:r>
        <w:rPr>
          <w:rFonts w:hint="eastAsia"/>
        </w:rPr>
        <w:br w:type="textWrapping"/>
      </w:r>
      <w:r>
        <w:rPr>
          <w:rFonts w:hint="eastAsia"/>
        </w:rPr>
        <w:t>评估工具</w:t>
      </w:r>
    </w:p>
    <w:p w14:paraId="6CD6A7D2">
      <w:pPr>
        <w:pStyle w:val="212"/>
      </w:pPr>
      <w:r>
        <w:rPr>
          <w:rFonts w:hint="eastAsia"/>
        </w:rPr>
        <w:t>简易智力状态评估表（MINI—cog）见表A.1。</w:t>
      </w:r>
    </w:p>
    <w:p w14:paraId="01F1194E">
      <w:pPr>
        <w:pStyle w:val="78"/>
        <w:spacing w:before="156" w:after="156"/>
      </w:pPr>
      <w:bookmarkStart w:id="50" w:name="_Hlk210043717"/>
      <w:r>
        <w:rPr>
          <w:rFonts w:hint="eastAsia"/>
        </w:rPr>
        <w:t>简易智力状态评估表</w:t>
      </w:r>
      <w:bookmarkEnd w:id="50"/>
      <w:r>
        <w:rPr>
          <w:rFonts w:hint="eastAsia"/>
        </w:rPr>
        <w:t>（MINI—cog）</w:t>
      </w:r>
    </w:p>
    <w:tbl>
      <w:tblPr>
        <w:tblStyle w:val="28"/>
        <w:tblpPr w:leftFromText="180" w:rightFromText="180" w:vertAnchor="page" w:horzAnchor="page" w:tblpX="1467" w:tblpY="6521"/>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09"/>
        <w:gridCol w:w="5812"/>
        <w:gridCol w:w="1418"/>
      </w:tblGrid>
      <w:tr w14:paraId="3B865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14:paraId="19647C1C">
            <w:pPr>
              <w:jc w:val="center"/>
              <w:rPr>
                <w:rFonts w:hint="eastAsia" w:ascii="宋体" w:hAnsi="宋体" w:cs="宋体"/>
                <w:sz w:val="18"/>
                <w:szCs w:val="18"/>
              </w:rPr>
            </w:pPr>
            <w:r>
              <w:rPr>
                <w:rFonts w:hint="eastAsia" w:ascii="宋体" w:hAnsi="宋体" w:cs="宋体"/>
                <w:color w:val="000000"/>
                <w:sz w:val="18"/>
                <w:szCs w:val="18"/>
              </w:rPr>
              <w:t>步骤</w:t>
            </w:r>
          </w:p>
        </w:tc>
        <w:tc>
          <w:tcPr>
            <w:tcW w:w="5812" w:type="dxa"/>
          </w:tcPr>
          <w:p w14:paraId="3EFA0F8C">
            <w:pPr>
              <w:jc w:val="center"/>
              <w:rPr>
                <w:rFonts w:hint="eastAsia" w:ascii="宋体" w:hAnsi="宋体" w:cs="宋体"/>
                <w:sz w:val="18"/>
                <w:szCs w:val="18"/>
              </w:rPr>
            </w:pPr>
            <w:r>
              <w:rPr>
                <w:rFonts w:hint="eastAsia" w:ascii="宋体" w:hAnsi="宋体" w:cs="宋体"/>
                <w:color w:val="000000"/>
                <w:sz w:val="18"/>
                <w:szCs w:val="18"/>
              </w:rPr>
              <w:t>内容</w:t>
            </w:r>
          </w:p>
        </w:tc>
        <w:tc>
          <w:tcPr>
            <w:tcW w:w="1418" w:type="dxa"/>
          </w:tcPr>
          <w:p w14:paraId="1A334262">
            <w:pPr>
              <w:jc w:val="center"/>
              <w:rPr>
                <w:rFonts w:hint="eastAsia" w:ascii="宋体" w:hAnsi="宋体" w:cs="宋体"/>
                <w:sz w:val="18"/>
                <w:szCs w:val="18"/>
              </w:rPr>
            </w:pPr>
            <w:r>
              <w:rPr>
                <w:rFonts w:hint="eastAsia" w:ascii="宋体" w:hAnsi="宋体" w:cs="宋体"/>
                <w:color w:val="000000"/>
                <w:sz w:val="18"/>
                <w:szCs w:val="18"/>
              </w:rPr>
              <w:t>评分</w:t>
            </w:r>
          </w:p>
        </w:tc>
      </w:tr>
      <w:tr w14:paraId="61CA3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vMerge w:val="restart"/>
            <w:vAlign w:val="center"/>
          </w:tcPr>
          <w:p w14:paraId="2C0CA12E">
            <w:pPr>
              <w:jc w:val="center"/>
              <w:rPr>
                <w:rFonts w:hint="eastAsia" w:ascii="宋体" w:hAnsi="宋体" w:cs="宋体"/>
                <w:sz w:val="18"/>
                <w:szCs w:val="18"/>
              </w:rPr>
            </w:pPr>
            <w:r>
              <w:rPr>
                <w:rFonts w:hint="eastAsia" w:ascii="宋体" w:hAnsi="宋体" w:cs="宋体"/>
                <w:color w:val="000000"/>
                <w:sz w:val="18"/>
                <w:szCs w:val="18"/>
              </w:rPr>
              <w:t>第一步</w:t>
            </w:r>
          </w:p>
        </w:tc>
        <w:tc>
          <w:tcPr>
            <w:tcW w:w="5812" w:type="dxa"/>
          </w:tcPr>
          <w:p w14:paraId="7B903BB2">
            <w:pPr>
              <w:jc w:val="left"/>
              <w:rPr>
                <w:rFonts w:hint="eastAsia" w:ascii="宋体" w:hAnsi="宋体" w:cs="宋体"/>
                <w:sz w:val="18"/>
                <w:szCs w:val="18"/>
              </w:rPr>
            </w:pPr>
            <w:r>
              <w:rPr>
                <w:rFonts w:hint="eastAsia" w:ascii="宋体" w:hAnsi="宋体" w:cs="宋体"/>
                <w:color w:val="000000"/>
                <w:sz w:val="18"/>
                <w:szCs w:val="18"/>
              </w:rPr>
              <w:t>确定患者已集中注意力.</w:t>
            </w:r>
          </w:p>
        </w:tc>
        <w:tc>
          <w:tcPr>
            <w:tcW w:w="1418" w:type="dxa"/>
          </w:tcPr>
          <w:p w14:paraId="674F21A2">
            <w:pPr>
              <w:jc w:val="left"/>
              <w:rPr>
                <w:rFonts w:hint="eastAsia" w:ascii="宋体" w:hAnsi="宋体" w:cs="宋体"/>
                <w:sz w:val="18"/>
                <w:szCs w:val="18"/>
              </w:rPr>
            </w:pPr>
          </w:p>
        </w:tc>
      </w:tr>
      <w:tr w14:paraId="2FB5E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vMerge w:val="continue"/>
            <w:vAlign w:val="center"/>
          </w:tcPr>
          <w:p w14:paraId="26542DC3">
            <w:pPr>
              <w:jc w:val="center"/>
              <w:rPr>
                <w:rFonts w:hint="eastAsia" w:ascii="宋体" w:hAnsi="宋体" w:cs="宋体"/>
                <w:sz w:val="18"/>
                <w:szCs w:val="18"/>
              </w:rPr>
            </w:pPr>
          </w:p>
        </w:tc>
        <w:tc>
          <w:tcPr>
            <w:tcW w:w="5812" w:type="dxa"/>
          </w:tcPr>
          <w:p w14:paraId="066C568E">
            <w:pPr>
              <w:jc w:val="left"/>
              <w:rPr>
                <w:rFonts w:hint="eastAsia" w:ascii="宋体" w:hAnsi="宋体" w:cs="宋体"/>
                <w:sz w:val="18"/>
                <w:szCs w:val="18"/>
              </w:rPr>
            </w:pPr>
            <w:r>
              <w:rPr>
                <w:rFonts w:hint="eastAsia" w:ascii="宋体" w:hAnsi="宋体" w:cs="宋体"/>
                <w:color w:val="000000"/>
                <w:sz w:val="18"/>
                <w:szCs w:val="18"/>
              </w:rPr>
              <w:t>指导患者认真听并记住3个不相关的词，并跟着重复一遍(确定患者已听清楚）</w:t>
            </w:r>
          </w:p>
        </w:tc>
        <w:tc>
          <w:tcPr>
            <w:tcW w:w="1418" w:type="dxa"/>
          </w:tcPr>
          <w:p w14:paraId="0541285B">
            <w:pPr>
              <w:jc w:val="left"/>
              <w:rPr>
                <w:rFonts w:hint="eastAsia" w:ascii="宋体" w:hAnsi="宋体" w:cs="宋体"/>
                <w:sz w:val="18"/>
                <w:szCs w:val="18"/>
              </w:rPr>
            </w:pPr>
          </w:p>
        </w:tc>
      </w:tr>
      <w:tr w14:paraId="4A11A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vMerge w:val="restart"/>
            <w:vAlign w:val="center"/>
          </w:tcPr>
          <w:p w14:paraId="70C4ECD1">
            <w:pPr>
              <w:jc w:val="center"/>
              <w:rPr>
                <w:rFonts w:hint="eastAsia" w:ascii="宋体" w:hAnsi="宋体" w:cs="宋体"/>
                <w:sz w:val="18"/>
                <w:szCs w:val="18"/>
              </w:rPr>
            </w:pPr>
            <w:r>
              <w:rPr>
                <w:rFonts w:hint="eastAsia" w:ascii="宋体" w:hAnsi="宋体" w:cs="宋体"/>
                <w:color w:val="000000"/>
                <w:sz w:val="18"/>
                <w:szCs w:val="18"/>
              </w:rPr>
              <w:t>第二步</w:t>
            </w:r>
          </w:p>
          <w:p w14:paraId="4DBDFBB2">
            <w:pPr>
              <w:jc w:val="center"/>
              <w:rPr>
                <w:rFonts w:hint="eastAsia" w:ascii="宋体" w:hAnsi="宋体" w:cs="宋体"/>
                <w:sz w:val="18"/>
                <w:szCs w:val="18"/>
              </w:rPr>
            </w:pPr>
            <w:r>
              <w:rPr>
                <w:rFonts w:hint="eastAsia" w:ascii="宋体" w:hAnsi="宋体" w:cs="宋体"/>
                <w:color w:val="000000"/>
                <w:sz w:val="18"/>
                <w:szCs w:val="18"/>
              </w:rPr>
              <w:t>（CDT检测）</w:t>
            </w:r>
          </w:p>
        </w:tc>
        <w:tc>
          <w:tcPr>
            <w:tcW w:w="5812" w:type="dxa"/>
          </w:tcPr>
          <w:p w14:paraId="0C6DB98D">
            <w:pPr>
              <w:jc w:val="left"/>
              <w:rPr>
                <w:rFonts w:hint="eastAsia" w:ascii="宋体" w:hAnsi="宋体" w:cs="宋体"/>
                <w:sz w:val="18"/>
                <w:szCs w:val="18"/>
              </w:rPr>
            </w:pPr>
            <w:r>
              <w:rPr>
                <w:rFonts w:hint="eastAsia" w:ascii="宋体" w:hAnsi="宋体" w:cs="宋体"/>
                <w:color w:val="000000"/>
                <w:sz w:val="18"/>
                <w:szCs w:val="18"/>
              </w:rPr>
              <w:t>指导患者在一张白纸上画一个表盘</w:t>
            </w:r>
          </w:p>
        </w:tc>
        <w:tc>
          <w:tcPr>
            <w:tcW w:w="1418" w:type="dxa"/>
          </w:tcPr>
          <w:p w14:paraId="6874208D">
            <w:pPr>
              <w:jc w:val="left"/>
              <w:rPr>
                <w:rFonts w:hint="eastAsia" w:ascii="宋体" w:hAnsi="宋体" w:cs="宋体"/>
                <w:sz w:val="18"/>
                <w:szCs w:val="18"/>
              </w:rPr>
            </w:pPr>
          </w:p>
        </w:tc>
      </w:tr>
      <w:tr w14:paraId="14681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vMerge w:val="continue"/>
            <w:vAlign w:val="center"/>
          </w:tcPr>
          <w:p w14:paraId="218A7A12">
            <w:pPr>
              <w:jc w:val="center"/>
              <w:rPr>
                <w:rFonts w:hint="eastAsia" w:ascii="宋体" w:hAnsi="宋体" w:cs="宋体"/>
                <w:sz w:val="18"/>
                <w:szCs w:val="18"/>
              </w:rPr>
            </w:pPr>
          </w:p>
        </w:tc>
        <w:tc>
          <w:tcPr>
            <w:tcW w:w="5812" w:type="dxa"/>
          </w:tcPr>
          <w:p w14:paraId="5879D1F0">
            <w:pPr>
              <w:jc w:val="left"/>
              <w:rPr>
                <w:rFonts w:hint="eastAsia" w:ascii="宋体" w:hAnsi="宋体" w:cs="宋体"/>
                <w:sz w:val="18"/>
                <w:szCs w:val="18"/>
              </w:rPr>
            </w:pPr>
            <w:r>
              <w:rPr>
                <w:rFonts w:hint="eastAsia" w:ascii="宋体" w:hAnsi="宋体" w:cs="宋体"/>
                <w:color w:val="000000"/>
                <w:sz w:val="18"/>
                <w:szCs w:val="18"/>
              </w:rPr>
              <w:t>让他在表盘上画出时针和分针,标识一个给定的时间(11：10或8:20最常用，较其他更敏感）</w:t>
            </w:r>
          </w:p>
        </w:tc>
        <w:tc>
          <w:tcPr>
            <w:tcW w:w="1418" w:type="dxa"/>
          </w:tcPr>
          <w:p w14:paraId="5477D661">
            <w:pPr>
              <w:jc w:val="left"/>
              <w:rPr>
                <w:rFonts w:hint="eastAsia" w:ascii="宋体" w:hAnsi="宋体" w:cs="宋体"/>
                <w:sz w:val="18"/>
                <w:szCs w:val="18"/>
              </w:rPr>
            </w:pPr>
          </w:p>
        </w:tc>
      </w:tr>
      <w:tr w14:paraId="595BD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vAlign w:val="center"/>
          </w:tcPr>
          <w:p w14:paraId="78C159D5">
            <w:pPr>
              <w:jc w:val="center"/>
              <w:rPr>
                <w:rFonts w:hint="eastAsia" w:ascii="宋体" w:hAnsi="宋体" w:cs="宋体"/>
                <w:sz w:val="18"/>
                <w:szCs w:val="18"/>
              </w:rPr>
            </w:pPr>
            <w:r>
              <w:rPr>
                <w:rFonts w:hint="eastAsia" w:ascii="宋体" w:hAnsi="宋体" w:cs="宋体"/>
                <w:color w:val="000000"/>
                <w:sz w:val="18"/>
                <w:szCs w:val="18"/>
              </w:rPr>
              <w:t>第三步</w:t>
            </w:r>
          </w:p>
        </w:tc>
        <w:tc>
          <w:tcPr>
            <w:tcW w:w="5812" w:type="dxa"/>
          </w:tcPr>
          <w:p w14:paraId="2CA03BA3">
            <w:pPr>
              <w:jc w:val="left"/>
              <w:rPr>
                <w:rFonts w:hint="eastAsia" w:ascii="宋体" w:hAnsi="宋体" w:cs="宋体"/>
                <w:sz w:val="18"/>
                <w:szCs w:val="18"/>
              </w:rPr>
            </w:pPr>
            <w:r>
              <w:rPr>
                <w:rFonts w:hint="eastAsia" w:ascii="宋体" w:hAnsi="宋体" w:cs="宋体"/>
                <w:color w:val="000000"/>
                <w:sz w:val="18"/>
                <w:szCs w:val="18"/>
              </w:rPr>
              <w:t>让患者重复之前提到的3个词</w:t>
            </w:r>
          </w:p>
        </w:tc>
        <w:tc>
          <w:tcPr>
            <w:tcW w:w="1418" w:type="dxa"/>
          </w:tcPr>
          <w:p w14:paraId="1A1CAE6A">
            <w:pPr>
              <w:jc w:val="left"/>
              <w:rPr>
                <w:rFonts w:hint="eastAsia" w:ascii="宋体" w:hAnsi="宋体" w:cs="宋体"/>
                <w:sz w:val="18"/>
                <w:szCs w:val="18"/>
              </w:rPr>
            </w:pPr>
          </w:p>
        </w:tc>
      </w:tr>
    </w:tbl>
    <w:p w14:paraId="332BA305">
      <w:pPr>
        <w:jc w:val="left"/>
        <w:rPr>
          <w:rFonts w:hint="eastAsia" w:ascii="宋体" w:hAnsi="宋体" w:cs="宋体"/>
          <w:sz w:val="18"/>
          <w:szCs w:val="18"/>
        </w:rPr>
      </w:pPr>
      <w:r>
        <w:rPr>
          <w:rFonts w:hint="eastAsia" w:ascii="宋体" w:hAnsi="宋体" w:cs="宋体"/>
          <w:color w:val="000000"/>
          <w:sz w:val="18"/>
          <w:szCs w:val="18"/>
        </w:rPr>
        <w:t>※评分</w:t>
      </w:r>
    </w:p>
    <w:p w14:paraId="2C19C531">
      <w:pPr>
        <w:jc w:val="left"/>
        <w:rPr>
          <w:rFonts w:hint="eastAsia" w:ascii="宋体" w:hAnsi="宋体" w:cs="宋体"/>
          <w:sz w:val="18"/>
          <w:szCs w:val="18"/>
        </w:rPr>
      </w:pPr>
      <w:r>
        <w:rPr>
          <w:rFonts w:hint="eastAsia" w:ascii="宋体" w:hAnsi="宋体" w:cs="宋体"/>
          <w:color w:val="000000"/>
          <w:sz w:val="18"/>
          <w:szCs w:val="18"/>
        </w:rPr>
        <w:t>☆完成CDT检测后，每回忆起一个词得1分（0—3分）</w:t>
      </w:r>
    </w:p>
    <w:p w14:paraId="73AEC27D">
      <w:pPr>
        <w:jc w:val="left"/>
        <w:rPr>
          <w:rFonts w:hint="eastAsia" w:ascii="宋体" w:hAnsi="宋体" w:cs="宋体"/>
          <w:sz w:val="18"/>
          <w:szCs w:val="18"/>
        </w:rPr>
      </w:pPr>
      <w:r>
        <w:rPr>
          <w:rFonts w:hint="eastAsia" w:ascii="宋体" w:hAnsi="宋体" w:cs="宋体"/>
          <w:color w:val="000000"/>
          <w:sz w:val="18"/>
          <w:szCs w:val="18"/>
        </w:rPr>
        <w:t>☆表盘标注正确得2分，有一处不正确得0分。</w:t>
      </w:r>
    </w:p>
    <w:p w14:paraId="12681F83">
      <w:pPr>
        <w:jc w:val="left"/>
        <w:rPr>
          <w:rFonts w:hint="eastAsia" w:ascii="宋体" w:hAnsi="宋体" w:cs="宋体"/>
          <w:sz w:val="18"/>
          <w:szCs w:val="18"/>
        </w:rPr>
      </w:pPr>
      <w:r>
        <w:rPr>
          <w:rFonts w:hint="eastAsia" w:ascii="宋体" w:hAnsi="宋体" w:cs="宋体"/>
          <w:color w:val="000000"/>
          <w:sz w:val="18"/>
          <w:szCs w:val="18"/>
        </w:rPr>
        <w:t>正确标准：所有数字按顺序以及位置标注正确，且指针位置能显示所要求的时间。</w:t>
      </w:r>
    </w:p>
    <w:p w14:paraId="3F8D9FDC">
      <w:pPr>
        <w:jc w:val="left"/>
        <w:rPr>
          <w:rFonts w:hint="eastAsia" w:ascii="宋体" w:hAnsi="宋体" w:cs="宋体"/>
          <w:sz w:val="18"/>
          <w:szCs w:val="18"/>
        </w:rPr>
      </w:pPr>
      <w:r>
        <w:rPr>
          <w:rFonts w:hint="eastAsia" w:ascii="宋体" w:hAnsi="宋体" w:cs="宋体"/>
          <w:color w:val="000000"/>
          <w:sz w:val="18"/>
          <w:szCs w:val="18"/>
        </w:rPr>
        <w:t>将名词回忆和CDT检测的总分相加即为MINI-COG试验分数。</w:t>
      </w:r>
    </w:p>
    <w:p w14:paraId="373A8866">
      <w:pPr>
        <w:jc w:val="left"/>
        <w:rPr>
          <w:rFonts w:hint="eastAsia" w:ascii="宋体" w:hAnsi="宋体" w:cs="宋体"/>
          <w:sz w:val="18"/>
          <w:szCs w:val="18"/>
        </w:rPr>
      </w:pPr>
      <w:r>
        <w:rPr>
          <w:rFonts w:hint="eastAsia" w:ascii="宋体" w:hAnsi="宋体" w:cs="宋体"/>
          <w:color w:val="000000"/>
          <w:sz w:val="18"/>
          <w:szCs w:val="18"/>
        </w:rPr>
        <w:t>※意义</w:t>
      </w:r>
    </w:p>
    <w:p w14:paraId="5B8F83D9">
      <w:pPr>
        <w:jc w:val="left"/>
        <w:rPr>
          <w:rFonts w:hint="eastAsia" w:ascii="宋体" w:hAnsi="宋体" w:eastAsia="宋体" w:cs="宋体"/>
          <w:sz w:val="18"/>
          <w:szCs w:val="18"/>
          <w:lang w:eastAsia="zh-CN"/>
        </w:rPr>
      </w:pPr>
      <w:r>
        <w:rPr>
          <w:rFonts w:hint="eastAsia" w:ascii="宋体" w:hAnsi="宋体" w:cs="宋体"/>
          <w:color w:val="000000"/>
          <w:sz w:val="18"/>
          <w:szCs w:val="18"/>
        </w:rPr>
        <w:t>☆0—2分</w:t>
      </w:r>
      <w:r>
        <w:rPr>
          <w:rFonts w:hint="eastAsia" w:ascii="宋体" w:hAnsi="宋体" w:cs="宋体"/>
          <w:color w:val="000000"/>
          <w:sz w:val="18"/>
          <w:szCs w:val="18"/>
          <w:lang w:eastAsia="zh-CN"/>
        </w:rPr>
        <w:t>：</w:t>
      </w:r>
      <w:r>
        <w:rPr>
          <w:rFonts w:hint="eastAsia" w:ascii="宋体" w:hAnsi="宋体" w:cs="宋体"/>
          <w:color w:val="000000"/>
          <w:sz w:val="18"/>
          <w:szCs w:val="18"/>
        </w:rPr>
        <w:t>痴呆筛查阳性，需进行进一步的评估</w:t>
      </w:r>
      <w:r>
        <w:rPr>
          <w:rFonts w:hint="eastAsia" w:ascii="宋体" w:hAnsi="宋体" w:cs="宋体"/>
          <w:color w:val="000000"/>
          <w:sz w:val="18"/>
          <w:szCs w:val="18"/>
          <w:lang w:eastAsia="zh-CN"/>
        </w:rPr>
        <w:t>。</w:t>
      </w:r>
    </w:p>
    <w:p w14:paraId="2BC21105">
      <w:pPr>
        <w:jc w:val="left"/>
        <w:rPr>
          <w:rFonts w:hint="eastAsia" w:ascii="宋体" w:hAnsi="宋体" w:eastAsia="宋体" w:cs="宋体"/>
          <w:sz w:val="18"/>
          <w:szCs w:val="18"/>
          <w:lang w:eastAsia="zh-CN"/>
        </w:rPr>
      </w:pPr>
      <w:r>
        <w:rPr>
          <w:rFonts w:hint="eastAsia" w:ascii="宋体" w:hAnsi="宋体" w:cs="宋体"/>
          <w:color w:val="000000"/>
          <w:sz w:val="18"/>
          <w:szCs w:val="18"/>
        </w:rPr>
        <w:t>☆3-5分</w:t>
      </w:r>
      <w:r>
        <w:rPr>
          <w:rFonts w:hint="eastAsia" w:ascii="宋体" w:hAnsi="宋体" w:cs="宋体"/>
          <w:color w:val="000000"/>
          <w:sz w:val="18"/>
          <w:szCs w:val="18"/>
          <w:lang w:eastAsia="zh-CN"/>
        </w:rPr>
        <w:t>：</w:t>
      </w:r>
      <w:r>
        <w:rPr>
          <w:rFonts w:hint="eastAsia" w:ascii="宋体" w:hAnsi="宋体" w:cs="宋体"/>
          <w:color w:val="000000"/>
          <w:sz w:val="18"/>
          <w:szCs w:val="18"/>
        </w:rPr>
        <w:t>痴呆筛查阴性</w:t>
      </w:r>
      <w:r>
        <w:rPr>
          <w:rFonts w:hint="eastAsia" w:ascii="宋体" w:hAnsi="宋体" w:cs="宋体"/>
          <w:color w:val="000000"/>
          <w:sz w:val="18"/>
          <w:szCs w:val="18"/>
          <w:lang w:eastAsia="zh-CN"/>
        </w:rPr>
        <w:t>。</w:t>
      </w:r>
    </w:p>
    <w:p w14:paraId="4F13C9F4">
      <w:pPr>
        <w:pStyle w:val="57"/>
        <w:ind w:firstLine="422"/>
        <w:rPr>
          <w:rFonts w:hint="eastAsia" w:ascii="宋体" w:hAnsi="宋体" w:cs="宋体"/>
          <w:b/>
        </w:rPr>
      </w:pPr>
    </w:p>
    <w:p w14:paraId="45376703">
      <w:pPr>
        <w:pStyle w:val="212"/>
      </w:pPr>
      <w:r>
        <w:rPr>
          <w:rFonts w:hint="eastAsia"/>
        </w:rPr>
        <w:t>简易智能精神状态量表（MMSE）见表A.2。</w:t>
      </w:r>
    </w:p>
    <w:p w14:paraId="7977C1F7">
      <w:pPr>
        <w:pStyle w:val="78"/>
        <w:spacing w:before="156" w:after="156"/>
      </w:pPr>
      <w:r>
        <w:rPr>
          <w:rFonts w:hint="eastAsia"/>
        </w:rPr>
        <w:t>简易智能精神状态量表（MMSE）</w:t>
      </w:r>
    </w:p>
    <w:p w14:paraId="025925CF">
      <w:pPr>
        <w:rPr>
          <w:rFonts w:hint="eastAsia" w:ascii="宋体" w:hAnsi="宋体" w:cs="宋体"/>
          <w:sz w:val="18"/>
          <w:szCs w:val="18"/>
        </w:rPr>
      </w:pPr>
      <w:r>
        <w:rPr>
          <w:rFonts w:hint="eastAsia" w:ascii="宋体" w:hAnsi="宋体" w:cs="宋体"/>
          <w:b/>
          <w:bCs/>
          <w:sz w:val="18"/>
          <w:szCs w:val="18"/>
          <w:u w:val="single"/>
        </w:rPr>
        <w:t xml:space="preserve">____________________________________________________                </w:t>
      </w:r>
      <w:r>
        <w:rPr>
          <w:rFonts w:hint="eastAsia" w:ascii="宋体" w:hAnsi="宋体" w:cs="宋体"/>
          <w:sz w:val="18"/>
          <w:szCs w:val="18"/>
        </w:rPr>
        <w:t>得分 最高分</w:t>
      </w:r>
    </w:p>
    <w:p w14:paraId="310C1A17">
      <w:pPr>
        <w:rPr>
          <w:rFonts w:hint="eastAsia" w:ascii="宋体" w:hAnsi="宋体" w:cs="宋体"/>
          <w:sz w:val="18"/>
          <w:szCs w:val="18"/>
        </w:rPr>
      </w:pPr>
      <w:r>
        <w:rPr>
          <w:rFonts w:hint="eastAsia" w:ascii="宋体" w:hAnsi="宋体" w:cs="宋体"/>
          <w:b/>
          <w:sz w:val="18"/>
          <w:szCs w:val="18"/>
        </w:rPr>
        <w:t>定向能力</w:t>
      </w:r>
      <w:r>
        <w:rPr>
          <w:rFonts w:hint="eastAsia" w:ascii="宋体" w:hAnsi="宋体" w:cs="宋体"/>
          <w:sz w:val="18"/>
          <w:szCs w:val="18"/>
        </w:rPr>
        <w:t>：现在是 哪一年□ 什么季节□ 几月□ 几号□ 星期几□         (    )   5</w:t>
      </w:r>
    </w:p>
    <w:p w14:paraId="3851BE6C">
      <w:pPr>
        <w:rPr>
          <w:rFonts w:hint="eastAsia" w:ascii="宋体" w:hAnsi="宋体" w:cs="宋体"/>
          <w:sz w:val="18"/>
          <w:szCs w:val="18"/>
        </w:rPr>
      </w:pPr>
      <w:r>
        <w:rPr>
          <w:rFonts w:hint="eastAsia" w:ascii="宋体" w:hAnsi="宋体" w:cs="宋体"/>
          <w:sz w:val="18"/>
          <w:szCs w:val="18"/>
        </w:rPr>
        <w:t>我们现在在哪里？ 省市□ 区或县□ 街道或乡□ 什么医院□ 第几层楼□   (    )   5</w:t>
      </w:r>
    </w:p>
    <w:p w14:paraId="33030C74">
      <w:pPr>
        <w:rPr>
          <w:rFonts w:hint="eastAsia" w:ascii="宋体" w:hAnsi="宋体" w:cs="宋体"/>
          <w:sz w:val="18"/>
          <w:szCs w:val="18"/>
        </w:rPr>
      </w:pPr>
      <w:r>
        <w:rPr>
          <w:rFonts w:hint="eastAsia" w:ascii="宋体" w:hAnsi="宋体" w:cs="宋体"/>
          <w:sz w:val="18"/>
          <w:szCs w:val="18"/>
        </w:rPr>
        <mc:AlternateContent>
          <mc:Choice Requires="wps">
            <w:drawing>
              <wp:anchor distT="0" distB="0" distL="114300" distR="114300" simplePos="0" relativeHeight="251662336" behindDoc="0" locked="0" layoutInCell="1" allowOverlap="1">
                <wp:simplePos x="0" y="0"/>
                <wp:positionH relativeFrom="column">
                  <wp:posOffset>65405</wp:posOffset>
                </wp:positionH>
                <wp:positionV relativeFrom="paragraph">
                  <wp:posOffset>108585</wp:posOffset>
                </wp:positionV>
                <wp:extent cx="5134610" cy="34925"/>
                <wp:effectExtent l="0" t="12700" r="8890" b="28575"/>
                <wp:wrapNone/>
                <wp:docPr id="8" name="直接连接符 4"/>
                <wp:cNvGraphicFramePr/>
                <a:graphic xmlns:a="http://schemas.openxmlformats.org/drawingml/2006/main">
                  <a:graphicData uri="http://schemas.microsoft.com/office/word/2010/wordprocessingShape">
                    <wps:wsp>
                      <wps:cNvCnPr/>
                      <wps:spPr>
                        <a:xfrm>
                          <a:off x="1208405" y="2211705"/>
                          <a:ext cx="5134610" cy="34925"/>
                        </a:xfrm>
                        <a:prstGeom prst="line">
                          <a:avLst/>
                        </a:prstGeom>
                        <a:noFill/>
                        <a:ln w="25400" cap="flat" cmpd="sng" algn="ctr">
                          <a:solidFill>
                            <a:srgbClr val="000000"/>
                          </a:solidFill>
                          <a:prstDash val="solid"/>
                        </a:ln>
                        <a:effectLst/>
                      </wps:spPr>
                      <wps:bodyPr/>
                    </wps:wsp>
                  </a:graphicData>
                </a:graphic>
              </wp:anchor>
            </w:drawing>
          </mc:Choice>
          <mc:Fallback>
            <w:pict>
              <v:line id="直接连接符 4" o:spid="_x0000_s1026" o:spt="20" style="position:absolute;left:0pt;margin-left:5.15pt;margin-top:8.55pt;height:2.75pt;width:404.3pt;z-index:251662336;mso-width-relative:page;mso-height-relative:page;" filled="f" stroked="t" coordsize="21600,21600" o:gfxdata="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vMgyTXAAAACAEAAA8AAAAAAAAAAQAgAAAAIgAAAGRycy9kb3ducmV2LnhtbFBLAQIUABQAAAAI&#10;AIdO4kDUbqrX7gEAALkDAAAOAAAAAAAAAAEAIAAAACYBAABkcnMvZTJvRG9jLnhtbFBLBQYAAAAA&#10;BgAGAFkBAACGBQAAAAA=&#10;">
                <v:fill on="f" focussize="0,0"/>
                <v:stroke weight="2pt" color="#000000" joinstyle="round"/>
                <v:imagedata o:title=""/>
                <o:lock v:ext="edit" aspectratio="f"/>
              </v:line>
            </w:pict>
          </mc:Fallback>
        </mc:AlternateContent>
      </w:r>
    </w:p>
    <w:p w14:paraId="1701821A">
      <w:pPr>
        <w:rPr>
          <w:rFonts w:hint="eastAsia" w:ascii="宋体" w:hAnsi="宋体" w:cs="宋体"/>
          <w:sz w:val="18"/>
          <w:szCs w:val="18"/>
        </w:rPr>
      </w:pPr>
      <w:r>
        <w:rPr>
          <w:rFonts w:hint="eastAsia" w:ascii="宋体" w:hAnsi="宋体" w:cs="宋体"/>
          <w:b/>
          <w:sz w:val="18"/>
          <w:szCs w:val="18"/>
        </w:rPr>
        <w:t>记忆力</w:t>
      </w:r>
      <w:r>
        <w:rPr>
          <w:rFonts w:hint="eastAsia" w:ascii="宋体" w:hAnsi="宋体" w:cs="宋体"/>
          <w:sz w:val="18"/>
          <w:szCs w:val="18"/>
        </w:rPr>
        <w:t>：现在我要说三样东西的名称，在我讲完之后，请您重复说一遍。</w:t>
      </w:r>
    </w:p>
    <w:p w14:paraId="2FE8EF9F">
      <w:pPr>
        <w:rPr>
          <w:rFonts w:hint="eastAsia" w:ascii="宋体" w:hAnsi="宋体" w:cs="宋体"/>
          <w:sz w:val="18"/>
          <w:szCs w:val="18"/>
        </w:rPr>
      </w:pPr>
      <w:r>
        <w:rPr>
          <w:rFonts w:hint="eastAsia" w:ascii="宋体" w:hAnsi="宋体" w:cs="宋体"/>
          <w:sz w:val="18"/>
          <w:szCs w:val="18"/>
        </w:rPr>
        <w:t>请您记住这三样东西，因为几分钟后要再问您的。（请仔细说清楚，每一样东西一秒钟）</w:t>
      </w:r>
    </w:p>
    <w:p w14:paraId="163D67E1">
      <w:pPr>
        <w:rPr>
          <w:rFonts w:hint="eastAsia" w:ascii="宋体" w:hAnsi="宋体" w:cs="宋体"/>
          <w:sz w:val="18"/>
          <w:szCs w:val="18"/>
        </w:rPr>
      </w:pPr>
      <w:r>
        <w:rPr>
          <w:rFonts w:hint="eastAsia" w:ascii="宋体" w:hAnsi="宋体" w:cs="宋体"/>
          <w:sz w:val="18"/>
          <w:szCs w:val="18"/>
        </w:rPr>
        <w:t>皮球□   国旗□   树木□                                          （    ）  3</w:t>
      </w:r>
    </w:p>
    <w:p w14:paraId="4CC6D04B">
      <w:pPr>
        <w:rPr>
          <w:rFonts w:hint="eastAsia" w:ascii="宋体" w:hAnsi="宋体" w:cs="宋体"/>
          <w:sz w:val="18"/>
          <w:szCs w:val="18"/>
        </w:rPr>
      </w:pPr>
      <w:r>
        <w:rPr>
          <w:rFonts w:hint="eastAsia" w:ascii="宋体" w:hAnsi="宋体" w:cs="宋体"/>
          <w:sz w:val="18"/>
          <w:szCs w:val="18"/>
        </w:rPr>
        <mc:AlternateContent>
          <mc:Choice Requires="wps">
            <w:drawing>
              <wp:anchor distT="0" distB="0" distL="114300" distR="114300" simplePos="0" relativeHeight="251664384" behindDoc="0" locked="0" layoutInCell="1" allowOverlap="1">
                <wp:simplePos x="0" y="0"/>
                <wp:positionH relativeFrom="column">
                  <wp:posOffset>18415</wp:posOffset>
                </wp:positionH>
                <wp:positionV relativeFrom="paragraph">
                  <wp:posOffset>5080</wp:posOffset>
                </wp:positionV>
                <wp:extent cx="5134610" cy="34925"/>
                <wp:effectExtent l="0" t="12700" r="8890" b="28575"/>
                <wp:wrapNone/>
                <wp:docPr id="10" name="直接连接符 5"/>
                <wp:cNvGraphicFramePr/>
                <a:graphic xmlns:a="http://schemas.openxmlformats.org/drawingml/2006/main">
                  <a:graphicData uri="http://schemas.microsoft.com/office/word/2010/wordprocessingShape">
                    <wps:wsp>
                      <wps:cNvCnPr/>
                      <wps:spPr>
                        <a:xfrm>
                          <a:off x="0" y="0"/>
                          <a:ext cx="5134610" cy="34925"/>
                        </a:xfrm>
                        <a:prstGeom prst="line">
                          <a:avLst/>
                        </a:prstGeom>
                        <a:noFill/>
                        <a:ln w="25400" cap="flat" cmpd="sng" algn="ctr">
                          <a:solidFill>
                            <a:srgbClr val="000000"/>
                          </a:solidFill>
                          <a:prstDash val="solid"/>
                        </a:ln>
                        <a:effectLst/>
                      </wps:spPr>
                      <wps:bodyPr/>
                    </wps:wsp>
                  </a:graphicData>
                </a:graphic>
              </wp:anchor>
            </w:drawing>
          </mc:Choice>
          <mc:Fallback>
            <w:pict>
              <v:line id="直接连接符 5" o:spid="_x0000_s1026" o:spt="20" style="position:absolute;left:0pt;margin-left:1.45pt;margin-top:0.4pt;height:2.75pt;width:404.3pt;z-index:251664384;mso-width-relative:page;mso-height-relative:page;" filled="f" stroked="t" coordsize="21600,21600" o:gfxdata="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WMdv9QAAAAEAQAADwAA&#10;AAAAAAABACAAAAAiAAAAZHJzL2Rvd25yZXYueG1sUEsBAhQAFAAAAAgAh07iQCHlTffhAQAArgMA&#10;AA4AAAAAAAAAAQAgAAAAIwEAAGRycy9lMm9Eb2MueG1sUEsFBgAAAAAGAAYAWQEAAHYFAAAAAA==&#10;">
                <v:fill on="f" focussize="0,0"/>
                <v:stroke weight="2pt" color="#000000" joinstyle="round"/>
                <v:imagedata o:title=""/>
                <o:lock v:ext="edit" aspectratio="f"/>
              </v:line>
            </w:pict>
          </mc:Fallback>
        </mc:AlternateContent>
      </w:r>
      <w:r>
        <w:rPr>
          <w:rFonts w:hint="eastAsia" w:ascii="宋体" w:hAnsi="宋体" w:cs="宋体"/>
          <w:sz w:val="18"/>
          <w:szCs w:val="18"/>
        </w:rPr>
        <w:t xml:space="preserve">                                         </w:t>
      </w:r>
    </w:p>
    <w:p w14:paraId="0231B7E0">
      <w:pPr>
        <w:rPr>
          <w:rFonts w:hint="eastAsia" w:ascii="宋体" w:hAnsi="宋体" w:cs="宋体"/>
          <w:sz w:val="18"/>
          <w:szCs w:val="18"/>
        </w:rPr>
      </w:pPr>
      <w:r>
        <w:rPr>
          <w:rFonts w:hint="eastAsia" w:ascii="宋体" w:hAnsi="宋体" w:cs="宋体"/>
          <w:b/>
          <w:sz w:val="18"/>
          <w:szCs w:val="18"/>
        </w:rPr>
        <w:t>注意力和计算能力</w:t>
      </w:r>
      <w:r>
        <w:rPr>
          <w:rFonts w:hint="eastAsia" w:ascii="宋体" w:hAnsi="宋体" w:cs="宋体"/>
          <w:sz w:val="18"/>
          <w:szCs w:val="18"/>
        </w:rPr>
        <w:t>：请您算一算100减去7，然后从所得的数目再减去7，如此一直的算下去，请您将每次减7后的答案告诉我，直到我说“停”为止。（若错了，但下一个答案是对的，那么只记一次错误）  93□  86□  79□   72□   65□             （    ）  5</w:t>
      </w:r>
    </w:p>
    <w:p w14:paraId="4867ABB2">
      <w:pPr>
        <w:rPr>
          <w:rFonts w:hint="eastAsia" w:ascii="宋体" w:hAnsi="宋体" w:cs="宋体"/>
          <w:sz w:val="18"/>
          <w:szCs w:val="18"/>
        </w:rPr>
      </w:pPr>
      <w:r>
        <w:rPr>
          <w:rFonts w:hint="eastAsia" w:ascii="宋体" w:hAnsi="宋体" w:cs="宋体"/>
          <w:sz w:val="18"/>
          <w:szCs w:val="18"/>
        </w:rPr>
        <w:t>回忆能力：现在请您说出刚才我让您记住的那三样东西？</w:t>
      </w:r>
    </w:p>
    <w:p w14:paraId="4C32A2A8">
      <w:pPr>
        <w:rPr>
          <w:rFonts w:hint="eastAsia" w:ascii="宋体" w:hAnsi="宋体" w:cs="宋体"/>
          <w:sz w:val="18"/>
          <w:szCs w:val="18"/>
        </w:rPr>
      </w:pPr>
      <w:r>
        <w:rPr>
          <w:rFonts w:hint="eastAsia" w:ascii="宋体" w:hAnsi="宋体" w:cs="宋体"/>
          <w:sz w:val="18"/>
          <w:szCs w:val="18"/>
        </w:rPr>
        <w:t>皮球□ 国旗□ 木□                                                        （    ）  3</w:t>
      </w:r>
    </w:p>
    <w:p w14:paraId="4D96F374">
      <w:pPr>
        <w:rPr>
          <w:rFonts w:hint="eastAsia" w:ascii="宋体" w:hAnsi="宋体" w:cs="宋体"/>
          <w:sz w:val="18"/>
          <w:szCs w:val="18"/>
        </w:rPr>
      </w:pPr>
      <w:r>
        <w:rPr>
          <w:rFonts w:hint="eastAsia" w:ascii="宋体" w:hAnsi="宋体" w:cs="宋体"/>
          <w:b/>
          <w:sz w:val="18"/>
          <w:szCs w:val="18"/>
        </w:rPr>
        <w:t>语言能力</w:t>
      </w:r>
      <w:r>
        <w:rPr>
          <w:rFonts w:hint="eastAsia" w:ascii="宋体" w:hAnsi="宋体" w:cs="宋体"/>
          <w:sz w:val="18"/>
          <w:szCs w:val="18"/>
        </w:rPr>
        <w:t>：（出示手表）这个东西叫什么？手表□                               （    ）  1</w:t>
      </w:r>
    </w:p>
    <w:p w14:paraId="33067C9D">
      <w:pPr>
        <w:rPr>
          <w:rFonts w:hint="eastAsia" w:ascii="宋体" w:hAnsi="宋体" w:cs="宋体"/>
          <w:sz w:val="18"/>
          <w:szCs w:val="18"/>
        </w:rPr>
      </w:pPr>
      <w:r>
        <w:rPr>
          <w:rFonts w:hint="eastAsia" w:ascii="宋体" w:hAnsi="宋体" w:cs="宋体"/>
          <w:sz w:val="18"/>
          <w:szCs w:val="18"/>
        </w:rPr>
        <w:t>（出示铅笔）这个东西叫什么？  铅笔□                                      （    ）  1</w:t>
      </w:r>
    </w:p>
    <w:p w14:paraId="1AE753DA">
      <w:pPr>
        <w:rPr>
          <w:rFonts w:hint="eastAsia" w:ascii="宋体" w:hAnsi="宋体" w:cs="宋体"/>
          <w:sz w:val="18"/>
          <w:szCs w:val="18"/>
        </w:rPr>
      </w:pPr>
      <w:r>
        <w:rPr>
          <w:rFonts w:hint="eastAsia" w:ascii="宋体" w:hAnsi="宋体" w:cs="宋体"/>
          <w:sz w:val="18"/>
          <w:szCs w:val="18"/>
        </w:rPr>
        <mc:AlternateContent>
          <mc:Choice Requires="wps">
            <w:drawing>
              <wp:anchor distT="0" distB="0" distL="114300" distR="114300" simplePos="0" relativeHeight="251665408" behindDoc="0" locked="0" layoutInCell="1" allowOverlap="1">
                <wp:simplePos x="0" y="0"/>
                <wp:positionH relativeFrom="column">
                  <wp:posOffset>49530</wp:posOffset>
                </wp:positionH>
                <wp:positionV relativeFrom="paragraph">
                  <wp:posOffset>53340</wp:posOffset>
                </wp:positionV>
                <wp:extent cx="5911850" cy="12700"/>
                <wp:effectExtent l="0" t="0" r="0" b="0"/>
                <wp:wrapNone/>
                <wp:docPr id="11" name="直接连接符 7"/>
                <wp:cNvGraphicFramePr/>
                <a:graphic xmlns:a="http://schemas.openxmlformats.org/drawingml/2006/main">
                  <a:graphicData uri="http://schemas.microsoft.com/office/word/2010/wordprocessingShape">
                    <wps:wsp>
                      <wps:cNvCnPr/>
                      <wps:spPr>
                        <a:xfrm>
                          <a:off x="0" y="0"/>
                          <a:ext cx="5911850" cy="12700"/>
                        </a:xfrm>
                        <a:prstGeom prst="line">
                          <a:avLst/>
                        </a:prstGeom>
                        <a:noFill/>
                        <a:ln w="25400" cap="flat" cmpd="sng" algn="ctr">
                          <a:solidFill>
                            <a:srgbClr val="000000"/>
                          </a:solidFill>
                          <a:prstDash val="solid"/>
                        </a:ln>
                        <a:effectLst/>
                      </wps:spPr>
                      <wps:bodyPr/>
                    </wps:wsp>
                  </a:graphicData>
                </a:graphic>
              </wp:anchor>
            </w:drawing>
          </mc:Choice>
          <mc:Fallback>
            <w:pict>
              <v:line id="直接连接符 7" o:spid="_x0000_s1026" o:spt="20" style="position:absolute;left:0pt;margin-left:3.9pt;margin-top:4.2pt;height:1pt;width:465.5pt;z-index:251665408;mso-width-relative:page;mso-height-relative:page;" filled="f" stroked="t" coordsize="21600,21600" o:gfxdata="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RE9YO1AAAAAYBAAAP&#10;AAAAAAAAAAEAIAAAACIAAABkcnMvZG93bnJldi54bWxQSwECFAAUAAAACACHTuJAHmHD/+MBAACu&#10;AwAADgAAAAAAAAABACAAAAAjAQAAZHJzL2Uyb0RvYy54bWxQSwUGAAAAAAYABgBZAQAAeAUAAAAA&#10;">
                <v:fill on="f" focussize="0,0"/>
                <v:stroke weight="2pt" color="#000000" joinstyle="round"/>
                <v:imagedata o:title=""/>
                <o:lock v:ext="edit" aspectratio="f"/>
              </v:line>
            </w:pict>
          </mc:Fallback>
        </mc:AlternateContent>
      </w:r>
    </w:p>
    <w:p w14:paraId="37888A3E">
      <w:pPr>
        <w:rPr>
          <w:rFonts w:hint="eastAsia" w:ascii="宋体" w:hAnsi="宋体" w:cs="宋体"/>
          <w:sz w:val="18"/>
          <w:szCs w:val="18"/>
        </w:rPr>
      </w:pPr>
      <w:r>
        <w:rPr>
          <w:rFonts w:hint="eastAsia" w:ascii="宋体" w:hAnsi="宋体" w:cs="宋体"/>
          <w:sz w:val="18"/>
          <w:szCs w:val="18"/>
        </w:rPr>
        <w:t>现在我要说几个词，请您跟着我清楚地重复一遍</w:t>
      </w:r>
    </w:p>
    <w:p w14:paraId="0C2C4145">
      <w:pPr>
        <w:pBdr>
          <w:bottom w:val="single" w:color="auto" w:sz="12" w:space="0"/>
        </w:pBdr>
        <w:rPr>
          <w:rFonts w:hint="eastAsia" w:ascii="宋体" w:hAnsi="宋体" w:cs="宋体"/>
          <w:sz w:val="18"/>
          <w:szCs w:val="18"/>
        </w:rPr>
      </w:pPr>
      <w:r>
        <w:rPr>
          <w:rFonts w:hint="eastAsia" w:ascii="宋体" w:hAnsi="宋体" w:cs="宋体"/>
          <w:b/>
          <w:sz w:val="18"/>
          <w:szCs w:val="18"/>
        </w:rPr>
        <w:t xml:space="preserve">吃葡萄不吐葡萄皮      </w:t>
      </w:r>
      <w:r>
        <w:rPr>
          <w:rFonts w:hint="eastAsia" w:ascii="宋体" w:hAnsi="宋体" w:cs="宋体"/>
          <w:sz w:val="18"/>
          <w:szCs w:val="18"/>
        </w:rPr>
        <w:t xml:space="preserve">                                                     （    ）  1</w:t>
      </w:r>
    </w:p>
    <w:p w14:paraId="18D0B841">
      <w:pPr>
        <w:rPr>
          <w:rFonts w:hint="eastAsia" w:ascii="宋体" w:hAnsi="宋体" w:cs="宋体"/>
          <w:sz w:val="18"/>
          <w:szCs w:val="18"/>
        </w:rPr>
      </w:pPr>
      <w:r>
        <w:rPr>
          <w:rFonts w:hint="eastAsia" w:ascii="宋体" w:hAnsi="宋体" w:cs="宋体"/>
          <w:sz w:val="18"/>
          <w:szCs w:val="18"/>
        </w:rPr>
        <w:t>我给您一张纸，请您按我说的去做，听我说完再开始做。现在开始：</w:t>
      </w:r>
    </w:p>
    <w:p w14:paraId="1A395455">
      <w:pPr>
        <w:rPr>
          <w:rFonts w:hint="eastAsia" w:ascii="宋体" w:hAnsi="宋体" w:cs="宋体"/>
          <w:sz w:val="18"/>
          <w:szCs w:val="18"/>
        </w:rPr>
      </w:pPr>
      <w:r>
        <w:rPr>
          <w:rFonts w:hint="eastAsia" w:ascii="宋体" w:hAnsi="宋体" w:cs="宋体"/>
          <w:sz w:val="18"/>
          <w:szCs w:val="18"/>
        </w:rPr>
        <w:t>“用右手拿着这张纸，用两只手将它对折起来，放在您的大腿上”。                （    ）  3</w:t>
      </w:r>
    </w:p>
    <w:p w14:paraId="2464F5A1">
      <w:pPr>
        <w:pBdr>
          <w:bottom w:val="single" w:color="auto" w:sz="12" w:space="0"/>
        </w:pBdr>
        <w:rPr>
          <w:rFonts w:hint="eastAsia" w:ascii="宋体" w:hAnsi="宋体" w:cs="宋体"/>
          <w:sz w:val="18"/>
          <w:szCs w:val="18"/>
        </w:rPr>
      </w:pPr>
      <w:r>
        <w:rPr>
          <w:rFonts w:hint="eastAsia" w:ascii="宋体" w:hAnsi="宋体" w:cs="宋体"/>
          <w:sz w:val="18"/>
          <w:szCs w:val="18"/>
        </w:rPr>
        <w:t>（不要重复说明也不要示范）</w:t>
      </w:r>
    </w:p>
    <w:p w14:paraId="502FF688">
      <w:pPr>
        <w:ind w:left="6300" w:hanging="6300" w:hangingChars="3500"/>
        <w:jc w:val="left"/>
        <w:rPr>
          <w:rFonts w:hint="eastAsia" w:ascii="宋体" w:hAnsi="宋体" w:cs="宋体"/>
          <w:sz w:val="18"/>
          <w:szCs w:val="18"/>
        </w:rPr>
      </w:pPr>
      <w:r>
        <w:rPr>
          <w:rFonts w:hint="eastAsia" w:ascii="宋体" w:hAnsi="宋体" w:cs="宋体"/>
          <w:sz w:val="18"/>
          <w:szCs w:val="18"/>
        </w:rPr>
        <w:t>请您念一念这句话，并且按上面的意思去做。                                   （    ） 1</w:t>
      </w:r>
    </w:p>
    <w:p w14:paraId="5B119F77">
      <w:pPr>
        <w:pBdr>
          <w:bottom w:val="single" w:color="auto" w:sz="12" w:space="0"/>
        </w:pBdr>
        <w:rPr>
          <w:rFonts w:hint="eastAsia" w:ascii="宋体" w:hAnsi="宋体" w:cs="宋体"/>
          <w:b/>
          <w:sz w:val="18"/>
          <w:szCs w:val="18"/>
        </w:rPr>
      </w:pPr>
      <w:r>
        <w:rPr>
          <w:rFonts w:hint="eastAsia" w:ascii="宋体" w:hAnsi="宋体" w:cs="宋体"/>
          <w:b/>
          <w:sz w:val="18"/>
          <w:szCs w:val="18"/>
        </w:rPr>
        <w:t>闭上您的眼睛</w:t>
      </w:r>
    </w:p>
    <w:p w14:paraId="4E1F6CD3">
      <w:pPr>
        <w:ind w:left="7020" w:hanging="7020" w:hangingChars="3900"/>
        <w:jc w:val="left"/>
        <w:rPr>
          <w:rFonts w:hint="eastAsia" w:ascii="宋体" w:hAnsi="宋体" w:cs="宋体"/>
          <w:sz w:val="18"/>
          <w:szCs w:val="18"/>
        </w:rPr>
      </w:pPr>
      <w:r>
        <w:rPr>
          <w:rFonts w:hint="eastAsia" w:ascii="宋体" w:hAnsi="宋体" w:cs="宋体"/>
          <w:sz w:val="18"/>
          <w:szCs w:val="18"/>
        </w:rPr>
        <w:t>您给我写一个完整的句子。（句子必须有主语、动词、有意义）                    （    ） 1</w:t>
      </w:r>
    </w:p>
    <w:p w14:paraId="269EB744">
      <w:pPr>
        <w:pBdr>
          <w:bottom w:val="single" w:color="auto" w:sz="12" w:space="0"/>
        </w:pBdr>
        <w:rPr>
          <w:rFonts w:hint="eastAsia" w:ascii="宋体" w:hAnsi="宋体" w:cs="宋体"/>
          <w:sz w:val="18"/>
          <w:szCs w:val="18"/>
        </w:rPr>
      </w:pPr>
    </w:p>
    <w:p w14:paraId="31E972A9">
      <w:pPr>
        <w:ind w:left="6300" w:hanging="6300" w:hangingChars="3500"/>
        <w:jc w:val="left"/>
        <w:rPr>
          <w:rFonts w:hint="eastAsia" w:ascii="宋体" w:hAnsi="宋体" w:cs="宋体"/>
          <w:sz w:val="18"/>
          <w:szCs w:val="18"/>
        </w:rPr>
      </w:pPr>
      <w:r>
        <w:rPr>
          <w:rFonts w:hint="eastAsia" w:ascii="宋体" w:hAnsi="宋体" w:cs="宋体"/>
          <w:sz w:val="18"/>
          <w:szCs w:val="18"/>
        </w:rPr>
        <w:t>这是一张图，请您照样把它画下来。                                           （    ） 1</w:t>
      </w:r>
    </w:p>
    <w:p w14:paraId="63E097C2">
      <w:r>
        <w:rPr>
          <w:rFonts w:hint="eastAsia"/>
        </w:rPr>
        <mc:AlternateContent>
          <mc:Choice Requires="wps">
            <w:drawing>
              <wp:anchor distT="0" distB="0" distL="114300" distR="114300" simplePos="0" relativeHeight="251663360" behindDoc="0" locked="0" layoutInCell="1" allowOverlap="1">
                <wp:simplePos x="0" y="0"/>
                <wp:positionH relativeFrom="column">
                  <wp:posOffset>1038225</wp:posOffset>
                </wp:positionH>
                <wp:positionV relativeFrom="paragraph">
                  <wp:posOffset>95250</wp:posOffset>
                </wp:positionV>
                <wp:extent cx="685800" cy="594360"/>
                <wp:effectExtent l="5715" t="4445" r="13335" b="10795"/>
                <wp:wrapNone/>
                <wp:docPr id="9" name="正五边形 2"/>
                <wp:cNvGraphicFramePr/>
                <a:graphic xmlns:a="http://schemas.openxmlformats.org/drawingml/2006/main">
                  <a:graphicData uri="http://schemas.microsoft.com/office/word/2010/wordprocessingShape">
                    <wps:wsp>
                      <wps:cNvSpPr/>
                      <wps:spPr>
                        <a:xfrm flipV="1">
                          <a:off x="0" y="0"/>
                          <a:ext cx="685800" cy="594360"/>
                        </a:xfrm>
                        <a:prstGeom prst="pentagon">
                          <a:avLst/>
                        </a:prstGeom>
                        <a:solidFill>
                          <a:srgbClr val="FFFFFF">
                            <a:alpha val="0"/>
                          </a:srgbClr>
                        </a:solidFill>
                        <a:ln w="9525" cap="flat" cmpd="sng">
                          <a:solidFill>
                            <a:srgbClr val="000000"/>
                          </a:solidFill>
                          <a:prstDash val="solid"/>
                          <a:miter/>
                          <a:headEnd type="none" w="med" len="med"/>
                          <a:tailEnd type="none" w="med" len="med"/>
                        </a:ln>
                        <a:effectLst/>
                      </wps:spPr>
                      <wps:bodyPr vert="horz" wrap="square" anchor="t" anchorCtr="0" upright="1"/>
                    </wps:wsp>
                  </a:graphicData>
                </a:graphic>
              </wp:anchor>
            </w:drawing>
          </mc:Choice>
          <mc:Fallback>
            <w:pict>
              <v:shape id="正五边形 2" o:spid="_x0000_s1026" o:spt="56" type="#_x0000_t56" style="position:absolute;left:0pt;flip:y;margin-left:81.75pt;margin-top:7.5pt;height:46.8pt;width:54pt;z-index:251663360;mso-width-relative:page;mso-height-relative:page;" fillcolor="#FFFFFF" filled="t" stroked="t" coordsize="21600,21600" o:gfxdata="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jpzp9UAAAAKAQAADwAAAAAAAAABACAAAAAiAAAAZHJz&#10;L2Rvd25yZXYueG1sUEsBAhQAFAAAAAgAh07iQGsJkbVAAgAAjwQAAA4AAAAAAAAAAQAgAAAAJAEA&#10;AGRycy9lMm9Eb2MueG1sUEsFBgAAAAAGAAYAWQEAANYFAAAAAA==&#10;">
                <v:fill on="t" opacity="0f" focussize="0,0"/>
                <v:stroke color="#000000" joinstyle="miter"/>
                <v:imagedata o:title=""/>
                <o:lock v:ext="edit" aspectratio="f"/>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571500</wp:posOffset>
                </wp:positionH>
                <wp:positionV relativeFrom="paragraph">
                  <wp:posOffset>125730</wp:posOffset>
                </wp:positionV>
                <wp:extent cx="685800" cy="567690"/>
                <wp:effectExtent l="5715" t="5715" r="13335" b="17145"/>
                <wp:wrapNone/>
                <wp:docPr id="7" name="正五边形 1"/>
                <wp:cNvGraphicFramePr/>
                <a:graphic xmlns:a="http://schemas.openxmlformats.org/drawingml/2006/main">
                  <a:graphicData uri="http://schemas.microsoft.com/office/word/2010/wordprocessingShape">
                    <wps:wsp>
                      <wps:cNvSpPr/>
                      <wps:spPr>
                        <a:xfrm>
                          <a:off x="0" y="0"/>
                          <a:ext cx="685800" cy="567690"/>
                        </a:xfrm>
                        <a:prstGeom prst="pentagon">
                          <a:avLst/>
                        </a:prstGeom>
                        <a:solidFill>
                          <a:srgbClr val="FFFFFF">
                            <a:alpha val="0"/>
                          </a:srgbClr>
                        </a:solidFill>
                        <a:ln w="9525" cap="flat" cmpd="sng">
                          <a:solidFill>
                            <a:srgbClr val="000000"/>
                          </a:solidFill>
                          <a:prstDash val="solid"/>
                          <a:miter/>
                          <a:headEnd type="none" w="med" len="med"/>
                          <a:tailEnd type="none" w="med" len="med"/>
                        </a:ln>
                        <a:effectLst/>
                      </wps:spPr>
                      <wps:bodyPr vert="horz" wrap="square" anchor="t" anchorCtr="0" upright="1"/>
                    </wps:wsp>
                  </a:graphicData>
                </a:graphic>
              </wp:anchor>
            </w:drawing>
          </mc:Choice>
          <mc:Fallback>
            <w:pict>
              <v:shape id="正五边形 1" o:spid="_x0000_s1026" o:spt="56" type="#_x0000_t56" style="position:absolute;left:0pt;margin-left:45pt;margin-top:9.9pt;height:44.7pt;width:54pt;z-index:251661312;mso-width-relative:page;mso-height-relative:page;" fillcolor="#FFFFFF" filled="t" stroked="t" coordsize="21600,21600" o:gfxdata="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ff+6DWAAAACQEAAA8AAAAAAAAAAQAgAAAAIgAAAGRycy9kb3du&#10;cmV2LnhtbFBLAQIUABQAAAAIAIdO4kBvIpafOgIAAIUEAAAOAAAAAAAAAAEAIAAAACUBAABkcnMv&#10;ZTJvRG9jLnhtbFBLBQYAAAAABgAGAFkBAADRBQAAAAA=&#10;">
                <v:fill on="t" opacity="0f" focussize="0,0"/>
                <v:stroke color="#000000" joinstyle="miter"/>
                <v:imagedata o:title=""/>
                <o:lock v:ext="edit" aspectratio="f"/>
              </v:shape>
            </w:pict>
          </mc:Fallback>
        </mc:AlternateContent>
      </w:r>
    </w:p>
    <w:p w14:paraId="3A2AC990"/>
    <w:p w14:paraId="16837C38">
      <w:pPr>
        <w:pBdr>
          <w:bottom w:val="single" w:color="auto" w:sz="12" w:space="0"/>
        </w:pBdr>
      </w:pPr>
    </w:p>
    <w:p w14:paraId="4D414131">
      <w:pPr>
        <w:pBdr>
          <w:bottom w:val="single" w:color="auto" w:sz="12" w:space="0"/>
        </w:pBdr>
      </w:pPr>
    </w:p>
    <w:p w14:paraId="5B6ECE44">
      <w:pPr>
        <w:rPr>
          <w:rFonts w:hint="eastAsia" w:ascii="宋体" w:hAnsi="宋体"/>
          <w:sz w:val="18"/>
          <w:szCs w:val="18"/>
        </w:rPr>
      </w:pPr>
      <w:r>
        <w:rPr>
          <w:rFonts w:hint="eastAsia"/>
          <w:sz w:val="18"/>
          <w:szCs w:val="18"/>
        </w:rPr>
        <w:t xml:space="preserve">总得分：           文化程度：             </w:t>
      </w:r>
      <w:r>
        <w:rPr>
          <w:rFonts w:hint="eastAsia" w:ascii="宋体" w:hAnsi="宋体"/>
          <w:sz w:val="18"/>
          <w:szCs w:val="18"/>
        </w:rPr>
        <w:t>评定人：          评定时间：</w:t>
      </w:r>
    </w:p>
    <w:p w14:paraId="44EBDBE6">
      <w:pPr>
        <w:rPr>
          <w:rFonts w:hint="eastAsia" w:ascii="宋体" w:hAnsi="宋体"/>
          <w:sz w:val="18"/>
          <w:szCs w:val="18"/>
        </w:rPr>
      </w:pPr>
      <w:r>
        <w:rPr>
          <w:rFonts w:hint="eastAsia" w:ascii="宋体" w:hAnsi="宋体"/>
          <w:sz w:val="18"/>
          <w:szCs w:val="18"/>
        </w:rPr>
        <w:t>结论：</w:t>
      </w:r>
    </w:p>
    <w:p w14:paraId="275FCE30">
      <w:pPr>
        <w:adjustRightInd/>
        <w:spacing w:line="360" w:lineRule="exact"/>
        <w:rPr>
          <w:rFonts w:hint="eastAsia" w:ascii="宋体" w:hAnsi="宋体"/>
          <w:sz w:val="18"/>
          <w:szCs w:val="18"/>
        </w:rPr>
      </w:pPr>
      <w:r>
        <w:rPr>
          <w:rFonts w:hint="eastAsia" w:ascii="宋体" w:hAnsi="宋体"/>
          <w:sz w:val="18"/>
          <w:szCs w:val="18"/>
        </w:rPr>
        <w:t>备注：此表总分为30分，评估结果文盲＜17分，小学程度＜20分，中学程度（包括中专）以上＜24分，评估为有认知功能障碍。认知障碍程度：</w:t>
      </w:r>
      <w:r>
        <w:rPr>
          <w:rFonts w:hint="eastAsia" w:ascii="宋体" w:hAnsi="宋体" w:cs="宋体"/>
          <w:color w:val="000000"/>
          <w:kern w:val="0"/>
          <w:sz w:val="18"/>
          <w:szCs w:val="18"/>
          <w:lang w:bidi="ar"/>
        </w:rPr>
        <w:t xml:space="preserve"> □正常（27-30分） □轻度认知功能障碍（21-26分） □中度认知功能障碍（10-20分 ）□重度认知功能障碍（≤9分）</w:t>
      </w:r>
    </w:p>
    <w:p w14:paraId="2175D3CB">
      <w:pPr>
        <w:rPr>
          <w:rFonts w:hint="eastAsia" w:ascii="宋体" w:hAnsi="宋体" w:cs="宋体"/>
          <w:b/>
          <w:bCs/>
          <w:color w:val="0000FF"/>
          <w:sz w:val="24"/>
          <w:szCs w:val="24"/>
        </w:rPr>
      </w:pPr>
    </w:p>
    <w:p w14:paraId="404AC9BE">
      <w:pPr>
        <w:pStyle w:val="57"/>
        <w:ind w:firstLine="420"/>
      </w:pPr>
    </w:p>
    <w:p w14:paraId="102A644E">
      <w:pPr>
        <w:pStyle w:val="57"/>
        <w:ind w:firstLine="420"/>
      </w:pPr>
    </w:p>
    <w:p w14:paraId="4556B57D">
      <w:pPr>
        <w:pStyle w:val="57"/>
        <w:ind w:firstLine="420"/>
      </w:pPr>
    </w:p>
    <w:bookmarkEnd w:id="49"/>
    <w:p w14:paraId="207739DC">
      <w:pPr>
        <w:pStyle w:val="57"/>
        <w:ind w:firstLine="420"/>
        <w:sectPr>
          <w:pgSz w:w="11906" w:h="16838"/>
          <w:pgMar w:top="1928" w:right="1134" w:bottom="1134" w:left="1134" w:header="1418" w:footer="1134" w:gutter="284"/>
          <w:cols w:space="425" w:num="1"/>
          <w:formProt w:val="0"/>
          <w:docGrid w:type="lines" w:linePitch="312" w:charSpace="0"/>
        </w:sectPr>
      </w:pPr>
      <w:bookmarkStart w:id="51" w:name="BookMark6"/>
    </w:p>
    <w:p w14:paraId="26489C94">
      <w:pPr>
        <w:pStyle w:val="64"/>
        <w:spacing w:after="156"/>
      </w:pPr>
      <w:r>
        <w:rPr>
          <w:rFonts w:hint="eastAsia"/>
          <w:spacing w:val="105"/>
        </w:rPr>
        <w:t>参考文</w:t>
      </w:r>
      <w:r>
        <w:rPr>
          <w:rFonts w:hint="eastAsia"/>
        </w:rPr>
        <w:t>献</w:t>
      </w:r>
    </w:p>
    <w:p w14:paraId="389EC678">
      <w:pPr>
        <w:pStyle w:val="57"/>
        <w:numPr>
          <w:ilvl w:val="0"/>
          <w:numId w:val="33"/>
        </w:numPr>
        <w:ind w:firstLine="420"/>
        <w:rPr>
          <w:rFonts w:hint="eastAsia" w:ascii="宋体" w:hAnsi="宋体" w:cs="宋体"/>
        </w:rPr>
      </w:pPr>
      <w:r>
        <w:rPr>
          <w:rFonts w:hint="eastAsia" w:ascii="宋体" w:hAnsi="宋体" w:cs="宋体"/>
        </w:rPr>
        <w:t xml:space="preserve"> GB/T 35796—2017  养老机构服务质量基本规范</w:t>
      </w:r>
    </w:p>
    <w:p w14:paraId="0B120DE7">
      <w:pPr>
        <w:pStyle w:val="57"/>
        <w:numPr>
          <w:ilvl w:val="0"/>
          <w:numId w:val="33"/>
        </w:numPr>
        <w:ind w:firstLine="420"/>
        <w:rPr>
          <w:rFonts w:hint="eastAsia" w:ascii="宋体" w:hAnsi="宋体" w:cs="宋体"/>
        </w:rPr>
      </w:pPr>
      <w:r>
        <w:rPr>
          <w:rFonts w:hint="eastAsia" w:ascii="宋体" w:hAnsi="宋体" w:cs="宋体"/>
          <w:lang w:val="en-US" w:eastAsia="zh-CN"/>
        </w:rPr>
        <w:t xml:space="preserve"> GB/T 42195—2022  老年人能力评估规范</w:t>
      </w:r>
    </w:p>
    <w:p w14:paraId="3E30B6C5">
      <w:pPr>
        <w:pStyle w:val="57"/>
        <w:ind w:firstLine="420"/>
        <w:rPr>
          <w:rFonts w:hint="eastAsia" w:ascii="宋体" w:hAnsi="宋体" w:cs="宋体"/>
        </w:rPr>
      </w:pPr>
      <w:r>
        <w:rPr>
          <w:rFonts w:hint="eastAsia" w:ascii="宋体" w:hAnsi="宋体" w:cs="宋体"/>
        </w:rPr>
        <w:t>[2]  DB11/T 1754—2024  老年人能力综合评估规范</w:t>
      </w:r>
    </w:p>
    <w:p w14:paraId="6DE080DA">
      <w:pPr>
        <w:pStyle w:val="57"/>
        <w:ind w:firstLine="420"/>
        <w:rPr>
          <w:rFonts w:hint="eastAsia" w:ascii="宋体" w:hAnsi="宋体" w:cs="宋体"/>
        </w:rPr>
      </w:pPr>
      <w:r>
        <w:rPr>
          <w:rFonts w:hint="eastAsia" w:ascii="宋体" w:hAnsi="宋体" w:cs="宋体"/>
        </w:rPr>
        <w:t>[3]  DB35/T 2120-2023  认知障碍老年人社区照护服务规范</w:t>
      </w:r>
    </w:p>
    <w:p w14:paraId="58BC0A81">
      <w:pPr>
        <w:pStyle w:val="57"/>
        <w:ind w:firstLine="420"/>
        <w:rPr>
          <w:rFonts w:hint="eastAsia" w:ascii="宋体" w:hAnsi="宋体" w:cs="宋体"/>
        </w:rPr>
      </w:pPr>
      <w:r>
        <w:rPr>
          <w:rFonts w:hint="eastAsia" w:ascii="宋体" w:hAnsi="宋体" w:cs="宋体"/>
        </w:rPr>
        <w:t>[4]  T/CGSS 019-2021  认知障碍老年人照护服务规范</w:t>
      </w:r>
    </w:p>
    <w:p w14:paraId="40EBD280">
      <w:pPr>
        <w:pStyle w:val="57"/>
        <w:ind w:firstLine="420"/>
        <w:rPr>
          <w:rFonts w:hint="eastAsia" w:ascii="宋体" w:hAnsi="宋体" w:cs="宋体"/>
        </w:rPr>
      </w:pPr>
      <w:r>
        <w:rPr>
          <w:rFonts w:hint="eastAsia" w:ascii="宋体" w:hAnsi="宋体" w:cs="宋体"/>
        </w:rPr>
        <w:t>[5]  认知训练中国专家共识[J1.中华医学杂志，2019，99(1):4-8.</w:t>
      </w:r>
    </w:p>
    <w:p w14:paraId="31F757F6">
      <w:pPr>
        <w:pStyle w:val="57"/>
        <w:ind w:firstLine="420"/>
        <w:rPr>
          <w:rFonts w:hint="eastAsia" w:ascii="宋体" w:hAnsi="宋体" w:cs="宋体"/>
        </w:rPr>
      </w:pPr>
      <w:r>
        <w:rPr>
          <w:rFonts w:hint="eastAsia" w:ascii="宋体" w:hAnsi="宋体" w:cs="宋体"/>
        </w:rPr>
        <w:t>[6]</w:t>
      </w:r>
      <w:r>
        <w:rPr>
          <w:rFonts w:hint="eastAsia" w:ascii="宋体" w:hAnsi="宋体" w:cs="宋体"/>
        </w:rPr>
        <w:tab/>
      </w:r>
      <w:r>
        <w:rPr>
          <w:rFonts w:hint="eastAsia" w:ascii="宋体" w:hAnsi="宋体" w:cs="宋体"/>
        </w:rPr>
        <w:t xml:space="preserve"> 中国老年医学学会认知障碍分会,认知障碍患者照料及管理专家共识撰写组. 阿尔茨海默病患者日常生活能力和精神行为症状及认知功能全面管理中国专家共识(2019)[J]. 中华老年医学杂志,2020,39(1):1-8. </w:t>
      </w:r>
    </w:p>
    <w:p w14:paraId="78F63B93">
      <w:pPr>
        <w:pStyle w:val="57"/>
        <w:ind w:firstLine="420"/>
        <w:rPr>
          <w:rFonts w:hint="eastAsia" w:ascii="宋体" w:hAnsi="宋体" w:cs="宋体"/>
        </w:rPr>
      </w:pPr>
      <w:r>
        <w:rPr>
          <w:rFonts w:hint="eastAsia" w:ascii="宋体" w:hAnsi="宋体" w:cs="宋体"/>
        </w:rPr>
        <w:t>[7]</w:t>
      </w:r>
      <w:r>
        <w:rPr>
          <w:rFonts w:hint="eastAsia" w:ascii="宋体" w:hAnsi="宋体" w:cs="宋体"/>
        </w:rPr>
        <w:tab/>
      </w:r>
      <w:r>
        <w:rPr>
          <w:rFonts w:hint="eastAsia" w:ascii="宋体" w:hAnsi="宋体" w:cs="宋体"/>
        </w:rPr>
        <w:t>马善新，宋鲁平.阿尔茨海默病康复管理中国专家共识要点解读[J1.中国医刊，2020，55(8):833-840.</w:t>
      </w:r>
    </w:p>
    <w:p w14:paraId="195873FC">
      <w:pPr>
        <w:pStyle w:val="57"/>
        <w:ind w:firstLine="420"/>
        <w:rPr>
          <w:rFonts w:hint="eastAsia" w:ascii="宋体" w:hAnsi="宋体" w:cs="宋体"/>
        </w:rPr>
      </w:pPr>
      <w:r>
        <w:rPr>
          <w:rFonts w:hint="eastAsia" w:ascii="宋体" w:hAnsi="宋体" w:cs="宋体"/>
        </w:rPr>
        <w:t>[8]</w:t>
      </w:r>
      <w:r>
        <w:rPr>
          <w:rFonts w:hint="eastAsia" w:ascii="宋体" w:hAnsi="宋体" w:cs="宋体"/>
        </w:rPr>
        <w:tab/>
      </w:r>
      <w:r>
        <w:rPr>
          <w:rFonts w:hint="eastAsia" w:ascii="宋体" w:hAnsi="宋体" w:cs="宋体"/>
        </w:rPr>
        <w:t>田金洲，解恒革，王鲁宁等,中国阿尔茨海默病痴呆诊疗指南(2020年版)[J].中华老年医学杂志，2021，40(3):269-283.</w:t>
      </w:r>
    </w:p>
    <w:p w14:paraId="71664E81">
      <w:pPr>
        <w:pStyle w:val="57"/>
        <w:ind w:firstLine="420"/>
        <w:rPr>
          <w:rFonts w:hint="eastAsia" w:ascii="宋体" w:hAnsi="宋体" w:cs="宋体"/>
        </w:rPr>
      </w:pPr>
      <w:r>
        <w:rPr>
          <w:rFonts w:hint="eastAsia" w:ascii="宋体" w:hAnsi="宋体" w:cs="宋体"/>
        </w:rPr>
        <w:t>[9]</w:t>
      </w:r>
      <w:r>
        <w:rPr>
          <w:rFonts w:hint="eastAsia" w:ascii="宋体" w:hAnsi="宋体" w:cs="宋体"/>
        </w:rPr>
        <w:tab/>
      </w:r>
      <w:r>
        <w:rPr>
          <w:rFonts w:hint="eastAsia" w:ascii="宋体" w:hAnsi="宋体" w:cs="宋体"/>
        </w:rPr>
        <w:t>林璐,马辛,王刚,等.中国阿尔茨海默病早期预防指南（2024）[J].阿尔茨海默病及相关病杂志,2024,7(03):168-175.</w:t>
      </w:r>
    </w:p>
    <w:p w14:paraId="7CDEA165">
      <w:pPr>
        <w:pStyle w:val="57"/>
        <w:ind w:firstLine="420"/>
        <w:rPr>
          <w:rFonts w:hint="eastAsia" w:ascii="宋体" w:hAnsi="宋体" w:cs="宋体"/>
        </w:rPr>
      </w:pPr>
      <w:r>
        <w:rPr>
          <w:rFonts w:hint="eastAsia" w:ascii="宋体" w:hAnsi="宋体" w:cs="宋体"/>
        </w:rPr>
        <w:t>[10]脑认知健康管理中国专家共识制定委员会,中华健康管理学杂志编辑委员会.脑认知健康管理中国专家共识.中华健康管理学杂志,2023,17(12):881-892</w:t>
      </w:r>
    </w:p>
    <w:p w14:paraId="03E2ADAF">
      <w:pPr>
        <w:pStyle w:val="57"/>
        <w:ind w:firstLine="420"/>
        <w:rPr>
          <w:rFonts w:hint="eastAsia" w:ascii="宋体" w:hAnsi="宋体" w:cs="宋体"/>
        </w:rPr>
      </w:pPr>
      <w:r>
        <w:rPr>
          <w:rFonts w:hint="eastAsia" w:ascii="宋体" w:hAnsi="宋体" w:cs="宋体"/>
        </w:rPr>
        <w:t>[11]中华医学会肠外肠内营养学分会脑健康营养协作组,阿尔茨海默病脑健康营养干预专家共识撰写组,徐俊,等. 阿尔茨海默病脑健康营养干预专家共识[J]. 中国科学（生命科学）,2021,51(12):1762-1788.</w:t>
      </w:r>
    </w:p>
    <w:p w14:paraId="2A2DCE25">
      <w:pPr>
        <w:pStyle w:val="57"/>
        <w:ind w:firstLine="420"/>
        <w:rPr>
          <w:rFonts w:hint="eastAsia" w:ascii="宋体" w:hAnsi="宋体" w:cs="宋体"/>
        </w:rPr>
      </w:pPr>
      <w:r>
        <w:rPr>
          <w:rFonts w:hint="eastAsia" w:ascii="宋体" w:hAnsi="宋体" w:cs="宋体"/>
        </w:rPr>
        <w:t xml:space="preserve">[12]认知训练中国专家共识写作组,中国医师协会神经内科医师分会认知障碍疾病专业委员会.认知训练中国专家共识[J].中华医学杂志,2019,99(1):4-8. </w:t>
      </w:r>
    </w:p>
    <w:p w14:paraId="3A4A246E">
      <w:pPr>
        <w:pStyle w:val="57"/>
        <w:ind w:firstLine="420"/>
        <w:rPr>
          <w:rFonts w:hint="eastAsia" w:ascii="宋体" w:hAnsi="宋体" w:cs="宋体"/>
        </w:rPr>
      </w:pPr>
      <w:r>
        <w:rPr>
          <w:rFonts w:hint="eastAsia" w:ascii="宋体" w:hAnsi="宋体" w:cs="宋体"/>
        </w:rPr>
        <w:t xml:space="preserve">[13]中国医师协会神经内科医师分会,认知训练中国指南写作组.认知训练中国指南（2022年版）[J].中华医学杂志,2022,102(37):2918-2925. </w:t>
      </w:r>
    </w:p>
    <w:p w14:paraId="49645246">
      <w:pPr>
        <w:pStyle w:val="57"/>
        <w:ind w:firstLine="420"/>
        <w:rPr>
          <w:rFonts w:hint="eastAsia" w:ascii="宋体" w:hAnsi="宋体" w:cs="宋体"/>
        </w:rPr>
      </w:pPr>
      <w:r>
        <w:rPr>
          <w:rFonts w:hint="eastAsia" w:ascii="宋体" w:hAnsi="宋体" w:cs="宋体"/>
        </w:rPr>
        <w:t xml:space="preserve">[14]中华医学会肠外肠内营养学分会脑健康营养协作组,阿尔茨海默病脑健康营养干预专家共识撰写组,徐俊,等.阿尔茨海默病脑健康营养干预专家共识[J].中国科学（生命科学）,2021,51(12):1762-1788. </w:t>
      </w:r>
    </w:p>
    <w:p w14:paraId="28B517C1">
      <w:pPr>
        <w:pStyle w:val="57"/>
        <w:ind w:firstLine="420"/>
        <w:rPr>
          <w:rFonts w:hint="eastAsia" w:ascii="宋体" w:hAnsi="宋体" w:cs="宋体"/>
        </w:rPr>
      </w:pPr>
      <w:r>
        <w:rPr>
          <w:rFonts w:hint="eastAsia" w:ascii="宋体" w:hAnsi="宋体" w:cs="宋体"/>
        </w:rPr>
        <w:t xml:space="preserve">[15]中华急诊医学教育学院营养学院,北京市心肺脑复苏重点实验室,首都医科大学附属北京朝阳医院急诊医学临床研究中心.中国失能患者家庭营养治疗推荐[J].中国急救医学,2021,41(10):829-841. </w:t>
      </w:r>
    </w:p>
    <w:p w14:paraId="465D162A">
      <w:pPr>
        <w:pStyle w:val="57"/>
        <w:ind w:firstLine="420"/>
        <w:rPr>
          <w:rFonts w:hint="eastAsia" w:ascii="宋体" w:hAnsi="宋体" w:cs="宋体"/>
        </w:rPr>
      </w:pPr>
      <w:r>
        <w:rPr>
          <w:rFonts w:hint="eastAsia" w:ascii="宋体" w:hAnsi="宋体" w:cs="宋体"/>
        </w:rPr>
        <w:t xml:space="preserve">[16]中国医师协会神经内科医师分会,认知训练中国指南写作组.认知训练中国指南（2022年版）[J].中华医学杂志,2022,102(37):2918-2925. </w:t>
      </w:r>
    </w:p>
    <w:p w14:paraId="7C2814EF">
      <w:pPr>
        <w:pStyle w:val="57"/>
        <w:ind w:firstLine="420"/>
        <w:rPr>
          <w:rFonts w:hint="eastAsia" w:ascii="宋体" w:hAnsi="宋体" w:cs="宋体"/>
        </w:rPr>
      </w:pPr>
      <w:r>
        <w:rPr>
          <w:rFonts w:hint="eastAsia" w:ascii="宋体" w:hAnsi="宋体" w:cs="宋体"/>
        </w:rPr>
        <w:t>[17]阿尔茨海默病患者日常生活能力和精神行为症状及认知功能全面管理中国专家共识(2019)《中华老年医学杂志》2020，39(01)</w:t>
      </w:r>
    </w:p>
    <w:p w14:paraId="28B80033">
      <w:pPr>
        <w:pStyle w:val="57"/>
        <w:ind w:firstLine="420"/>
        <w:rPr>
          <w:rFonts w:hint="eastAsia" w:ascii="宋体" w:hAnsi="宋体" w:cs="宋体"/>
        </w:rPr>
      </w:pPr>
      <w:r>
        <w:rPr>
          <w:rFonts w:hint="eastAsia" w:ascii="宋体" w:hAnsi="宋体" w:cs="宋体"/>
        </w:rPr>
        <w:t xml:space="preserve">[18]晚期认知障碍安宁疗护专家共识2025编写组,王立东,鲁建亮. 晚期认知障碍安宁疗护专家共识(2025)[J]. 郑州大学学报（医学版）,2025,60(3):439-444. </w:t>
      </w:r>
    </w:p>
    <w:p w14:paraId="35EC633E">
      <w:pPr>
        <w:pStyle w:val="57"/>
        <w:ind w:firstLine="420"/>
        <w:rPr>
          <w:rFonts w:hint="eastAsia" w:ascii="宋体" w:hAnsi="宋体" w:cs="宋体"/>
        </w:rPr>
      </w:pPr>
      <w:r>
        <w:rPr>
          <w:rFonts w:hint="eastAsia" w:ascii="宋体" w:hAnsi="宋体" w:cs="宋体"/>
        </w:rPr>
        <w:t>[19] 贾建平，陈生弟.神经病学（第8版）[M].北京：人民卫生出版社，2018.</w:t>
      </w:r>
    </w:p>
    <w:bookmarkEnd w:id="51"/>
    <w:p w14:paraId="48A81CA3">
      <w:pPr>
        <w:pStyle w:val="57"/>
        <w:ind w:firstLine="0" w:firstLineChars="0"/>
        <w:jc w:val="center"/>
      </w:pPr>
      <w:bookmarkStart w:id="52" w:name="BookMark8"/>
      <w:r>
        <w:rPr>
          <w:rFonts w:hint="eastAsia"/>
        </w:rPr>
        <w:drawing>
          <wp:inline distT="0" distB="0" distL="114300" distR="114300">
            <wp:extent cx="1485900" cy="317500"/>
            <wp:effectExtent l="0" t="0" r="0" b="6350"/>
            <wp:docPr id="1" name="图片 1" descr="1"/>
            <wp:cNvGraphicFramePr/>
            <a:graphic xmlns:a="http://schemas.openxmlformats.org/drawingml/2006/main">
              <a:graphicData uri="http://schemas.openxmlformats.org/drawingml/2006/picture">
                <pic:pic xmlns:pic="http://schemas.openxmlformats.org/drawingml/2006/picture">
                  <pic:nvPicPr>
                    <pic:cNvPr id="1" name="图片 1" descr="1"/>
                    <pic:cNvPicPr/>
                  </pic:nvPicPr>
                  <pic:blipFill>
                    <a:blip r:embed="rId14"/>
                    <a:stretch>
                      <a:fillRect/>
                    </a:stretch>
                  </pic:blipFill>
                  <pic:spPr>
                    <a:xfrm>
                      <a:off x="0" y="0"/>
                      <a:ext cx="1485900" cy="317500"/>
                    </a:xfrm>
                    <a:prstGeom prst="rect">
                      <a:avLst/>
                    </a:prstGeom>
                  </pic:spPr>
                </pic:pic>
              </a:graphicData>
            </a:graphic>
          </wp:inline>
        </w:drawing>
      </w:r>
      <w:bookmarkEnd w:id="52"/>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AE2A5">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74297">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018A1">
    <w:pPr>
      <w:pStyle w:val="53"/>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649C8">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EA363">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7FED2">
    <w:pPr>
      <w:pStyle w:val="62"/>
      <w:rPr>
        <w:rFonts w:hint="eastAsia"/>
      </w:rPr>
    </w:pPr>
    <w:r>
      <w:fldChar w:fldCharType="begin"/>
    </w:r>
    <w:r>
      <w:instrText xml:space="preserve"> STYLEREF  标准文件_文件编号  \* MERGEFORMAT </w:instrText>
    </w:r>
    <w:r>
      <w:fldChar w:fldCharType="separate"/>
    </w:r>
    <w:r>
      <w:t>DB4419/T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7450D">
    <w:pPr>
      <w:pStyle w:val="19"/>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DB4419/T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151572"/>
    <w:multiLevelType w:val="singleLevel"/>
    <w:tmpl w:val="CF151572"/>
    <w:lvl w:ilvl="0" w:tentative="0">
      <w:start w:val="1"/>
      <w:numFmt w:val="decimal"/>
      <w:suff w:val="space"/>
      <w:lvlText w:val="[%1]"/>
      <w:lvlJc w:val="left"/>
    </w:lvl>
  </w:abstractNum>
  <w:abstractNum w:abstractNumId="1">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4AF2C31"/>
    <w:multiLevelType w:val="multilevel"/>
    <w:tmpl w:val="04AF2C31"/>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1FC91163"/>
    <w:multiLevelType w:val="multilevel"/>
    <w:tmpl w:val="1FC91163"/>
    <w:lvl w:ilvl="0" w:tentative="0">
      <w:start w:val="1"/>
      <w:numFmt w:val="decimal"/>
      <w:pStyle w:val="23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35"/>
      <w:suff w:val="nothing"/>
      <w:lvlText w:val="%1.%2.%3　"/>
      <w:lvlJc w:val="left"/>
      <w:pPr>
        <w:ind w:left="0" w:firstLine="0"/>
      </w:pPr>
      <w:rPr>
        <w:rFonts w:hint="eastAsia" w:ascii="黑体" w:hAnsi="Times New Roman" w:eastAsia="黑体"/>
        <w:b w:val="0"/>
        <w:i w:val="0"/>
        <w:sz w:val="21"/>
      </w:rPr>
    </w:lvl>
    <w:lvl w:ilvl="3" w:tentative="0">
      <w:start w:val="1"/>
      <w:numFmt w:val="decimal"/>
      <w:pStyle w:val="236"/>
      <w:suff w:val="nothing"/>
      <w:lvlText w:val="%1.%2.%3.%4　"/>
      <w:lvlJc w:val="left"/>
      <w:pPr>
        <w:ind w:left="0" w:firstLine="0"/>
      </w:pPr>
      <w:rPr>
        <w:rFonts w:hint="eastAsia" w:ascii="黑体" w:hAnsi="Times New Roman" w:eastAsia="黑体"/>
        <w:b w:val="0"/>
        <w:i w:val="0"/>
        <w:sz w:val="21"/>
      </w:rPr>
    </w:lvl>
    <w:lvl w:ilvl="4" w:tentative="0">
      <w:start w:val="1"/>
      <w:numFmt w:val="decimal"/>
      <w:pStyle w:val="237"/>
      <w:suff w:val="nothing"/>
      <w:lvlText w:val="%1.%2.%3.%4.%5　"/>
      <w:lvlJc w:val="left"/>
      <w:pPr>
        <w:ind w:left="993"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9"/>
  </w:num>
  <w:num w:numId="3">
    <w:abstractNumId w:val="6"/>
  </w:num>
  <w:num w:numId="4">
    <w:abstractNumId w:val="25"/>
  </w:num>
  <w:num w:numId="5">
    <w:abstractNumId w:val="20"/>
  </w:num>
  <w:num w:numId="6">
    <w:abstractNumId w:val="15"/>
  </w:num>
  <w:num w:numId="7">
    <w:abstractNumId w:val="9"/>
  </w:num>
  <w:num w:numId="8">
    <w:abstractNumId w:val="4"/>
  </w:num>
  <w:num w:numId="9">
    <w:abstractNumId w:val="10"/>
  </w:num>
  <w:num w:numId="10">
    <w:abstractNumId w:val="18"/>
  </w:num>
  <w:num w:numId="11">
    <w:abstractNumId w:val="27"/>
  </w:num>
  <w:num w:numId="12">
    <w:abstractNumId w:val="13"/>
  </w:num>
  <w:num w:numId="13">
    <w:abstractNumId w:val="14"/>
  </w:num>
  <w:num w:numId="14">
    <w:abstractNumId w:val="8"/>
  </w:num>
  <w:num w:numId="15">
    <w:abstractNumId w:val="21"/>
  </w:num>
  <w:num w:numId="16">
    <w:abstractNumId w:val="23"/>
  </w:num>
  <w:num w:numId="17">
    <w:abstractNumId w:val="19"/>
  </w:num>
  <w:num w:numId="18">
    <w:abstractNumId w:val="31"/>
  </w:num>
  <w:num w:numId="19">
    <w:abstractNumId w:val="17"/>
  </w:num>
  <w:num w:numId="20">
    <w:abstractNumId w:val="2"/>
  </w:num>
  <w:num w:numId="21">
    <w:abstractNumId w:val="12"/>
  </w:num>
  <w:num w:numId="22">
    <w:abstractNumId w:val="32"/>
  </w:num>
  <w:num w:numId="23">
    <w:abstractNumId w:val="22"/>
  </w:num>
  <w:num w:numId="24">
    <w:abstractNumId w:val="7"/>
  </w:num>
  <w:num w:numId="25">
    <w:abstractNumId w:val="28"/>
  </w:num>
  <w:num w:numId="26">
    <w:abstractNumId w:val="30"/>
  </w:num>
  <w:num w:numId="27">
    <w:abstractNumId w:val="3"/>
  </w:num>
  <w:num w:numId="28">
    <w:abstractNumId w:val="5"/>
  </w:num>
  <w:num w:numId="29">
    <w:abstractNumId w:val="16"/>
  </w:num>
  <w:num w:numId="30">
    <w:abstractNumId w:val="26"/>
  </w:num>
  <w:num w:numId="31">
    <w:abstractNumId w:val="24"/>
  </w:num>
  <w:num w:numId="32">
    <w:abstractNumId w:val="1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1" w:cryptProviderType="rsaFull" w:cryptAlgorithmClass="hash" w:cryptAlgorithmType="typeAny" w:cryptAlgorithmSid="4" w:cryptSpinCount="0" w:hash="P85gCXD8plKadRRjX2iarPNyg9A=" w:salt="fZrAGbzYXRZilaVaQoUc1g=="/>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0E5F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10B1"/>
    <w:rsid w:val="00082317"/>
    <w:rsid w:val="00083D2C"/>
    <w:rsid w:val="00086AA1"/>
    <w:rsid w:val="00087A77"/>
    <w:rsid w:val="00090CA6"/>
    <w:rsid w:val="0009149A"/>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063D9"/>
    <w:rsid w:val="001139B7"/>
    <w:rsid w:val="00113B1E"/>
    <w:rsid w:val="0011420D"/>
    <w:rsid w:val="0011711C"/>
    <w:rsid w:val="0012059C"/>
    <w:rsid w:val="00124E4F"/>
    <w:rsid w:val="001260B7"/>
    <w:rsid w:val="001265CB"/>
    <w:rsid w:val="0012753E"/>
    <w:rsid w:val="001321C6"/>
    <w:rsid w:val="001325C4"/>
    <w:rsid w:val="00133010"/>
    <w:rsid w:val="001338EE"/>
    <w:rsid w:val="00133AAE"/>
    <w:rsid w:val="00135323"/>
    <w:rsid w:val="001356C4"/>
    <w:rsid w:val="00141114"/>
    <w:rsid w:val="00142969"/>
    <w:rsid w:val="001446C2"/>
    <w:rsid w:val="001457E7"/>
    <w:rsid w:val="00145D9D"/>
    <w:rsid w:val="00146388"/>
    <w:rsid w:val="00147549"/>
    <w:rsid w:val="00151161"/>
    <w:rsid w:val="0015225F"/>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0933"/>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0289"/>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2C65"/>
    <w:rsid w:val="003331E4"/>
    <w:rsid w:val="00336C64"/>
    <w:rsid w:val="00337162"/>
    <w:rsid w:val="0034194F"/>
    <w:rsid w:val="00344605"/>
    <w:rsid w:val="003474AA"/>
    <w:rsid w:val="00350D1D"/>
    <w:rsid w:val="00352C83"/>
    <w:rsid w:val="003563D7"/>
    <w:rsid w:val="003615D2"/>
    <w:rsid w:val="0036429C"/>
    <w:rsid w:val="00364A53"/>
    <w:rsid w:val="003654CB"/>
    <w:rsid w:val="00365AA9"/>
    <w:rsid w:val="00365F86"/>
    <w:rsid w:val="00365F87"/>
    <w:rsid w:val="00366499"/>
    <w:rsid w:val="00366E89"/>
    <w:rsid w:val="003705F4"/>
    <w:rsid w:val="00370D58"/>
    <w:rsid w:val="00371316"/>
    <w:rsid w:val="00376713"/>
    <w:rsid w:val="003803A6"/>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5172"/>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12E7"/>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4E35"/>
    <w:rsid w:val="0047583F"/>
    <w:rsid w:val="00475DE8"/>
    <w:rsid w:val="00481A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6234"/>
    <w:rsid w:val="004C1FBC"/>
    <w:rsid w:val="004C3F1D"/>
    <w:rsid w:val="004C458D"/>
    <w:rsid w:val="004C7556"/>
    <w:rsid w:val="004C7E8B"/>
    <w:rsid w:val="004C7E9D"/>
    <w:rsid w:val="004C7F67"/>
    <w:rsid w:val="004D076D"/>
    <w:rsid w:val="004D0EF1"/>
    <w:rsid w:val="004D2253"/>
    <w:rsid w:val="004D4406"/>
    <w:rsid w:val="004D55D5"/>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0DFF"/>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27150"/>
    <w:rsid w:val="00632182"/>
    <w:rsid w:val="00632AE0"/>
    <w:rsid w:val="00633C17"/>
    <w:rsid w:val="00634D9E"/>
    <w:rsid w:val="00636E3E"/>
    <w:rsid w:val="006379F7"/>
    <w:rsid w:val="00637E4D"/>
    <w:rsid w:val="00640620"/>
    <w:rsid w:val="00641A1F"/>
    <w:rsid w:val="00645904"/>
    <w:rsid w:val="006460BA"/>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3D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04BC"/>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59B4"/>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094E"/>
    <w:rsid w:val="00773C1F"/>
    <w:rsid w:val="00774DA4"/>
    <w:rsid w:val="00776599"/>
    <w:rsid w:val="0078114B"/>
    <w:rsid w:val="00781DD2"/>
    <w:rsid w:val="00783ECF"/>
    <w:rsid w:val="0078413A"/>
    <w:rsid w:val="007959E8"/>
    <w:rsid w:val="00795E9C"/>
    <w:rsid w:val="007A0521"/>
    <w:rsid w:val="007A2E12"/>
    <w:rsid w:val="007A3475"/>
    <w:rsid w:val="007A3918"/>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973"/>
    <w:rsid w:val="008373D3"/>
    <w:rsid w:val="00840054"/>
    <w:rsid w:val="00840617"/>
    <w:rsid w:val="00840F84"/>
    <w:rsid w:val="00842A47"/>
    <w:rsid w:val="00843C13"/>
    <w:rsid w:val="008454F8"/>
    <w:rsid w:val="0085173A"/>
    <w:rsid w:val="00856316"/>
    <w:rsid w:val="008603CE"/>
    <w:rsid w:val="00861582"/>
    <w:rsid w:val="008620FC"/>
    <w:rsid w:val="008627A5"/>
    <w:rsid w:val="00863E05"/>
    <w:rsid w:val="00865ACA"/>
    <w:rsid w:val="00865D28"/>
    <w:rsid w:val="00865F85"/>
    <w:rsid w:val="00866D4A"/>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0F1"/>
    <w:rsid w:val="008F0CDC"/>
    <w:rsid w:val="008F17A3"/>
    <w:rsid w:val="008F1ED3"/>
    <w:rsid w:val="008F23A5"/>
    <w:rsid w:val="008F4C29"/>
    <w:rsid w:val="008F70BD"/>
    <w:rsid w:val="008F788F"/>
    <w:rsid w:val="008F7EA2"/>
    <w:rsid w:val="00902722"/>
    <w:rsid w:val="009027BC"/>
    <w:rsid w:val="009062E6"/>
    <w:rsid w:val="00911BE5"/>
    <w:rsid w:val="00912A63"/>
    <w:rsid w:val="00913CA9"/>
    <w:rsid w:val="009145AE"/>
    <w:rsid w:val="009146CE"/>
    <w:rsid w:val="00914CA7"/>
    <w:rsid w:val="00915C3E"/>
    <w:rsid w:val="009161A8"/>
    <w:rsid w:val="009245F5"/>
    <w:rsid w:val="009249EC"/>
    <w:rsid w:val="009273B3"/>
    <w:rsid w:val="0092797D"/>
    <w:rsid w:val="009305B5"/>
    <w:rsid w:val="00937D9F"/>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C70E7"/>
    <w:rsid w:val="009D0DC2"/>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0407"/>
    <w:rsid w:val="00A41C79"/>
    <w:rsid w:val="00A41CB5"/>
    <w:rsid w:val="00A42CDF"/>
    <w:rsid w:val="00A4452E"/>
    <w:rsid w:val="00A4472C"/>
    <w:rsid w:val="00A44E69"/>
    <w:rsid w:val="00A4661E"/>
    <w:rsid w:val="00A509E5"/>
    <w:rsid w:val="00A55BD6"/>
    <w:rsid w:val="00A55D50"/>
    <w:rsid w:val="00A57142"/>
    <w:rsid w:val="00A648CD"/>
    <w:rsid w:val="00A6537A"/>
    <w:rsid w:val="00A67866"/>
    <w:rsid w:val="00A70B07"/>
    <w:rsid w:val="00A723F8"/>
    <w:rsid w:val="00A73677"/>
    <w:rsid w:val="00A77CCB"/>
    <w:rsid w:val="00A83D8D"/>
    <w:rsid w:val="00A8446B"/>
    <w:rsid w:val="00A8473F"/>
    <w:rsid w:val="00A862D6"/>
    <w:rsid w:val="00A866B0"/>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373"/>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073E"/>
    <w:rsid w:val="00B939B1"/>
    <w:rsid w:val="00B953E7"/>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404E"/>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1F5B"/>
    <w:rsid w:val="00C22148"/>
    <w:rsid w:val="00C24C8D"/>
    <w:rsid w:val="00C25FE2"/>
    <w:rsid w:val="00C26B53"/>
    <w:rsid w:val="00C279B2"/>
    <w:rsid w:val="00C33E50"/>
    <w:rsid w:val="00C34C20"/>
    <w:rsid w:val="00C35A3E"/>
    <w:rsid w:val="00C364A8"/>
    <w:rsid w:val="00C37DFC"/>
    <w:rsid w:val="00C42130"/>
    <w:rsid w:val="00C423A4"/>
    <w:rsid w:val="00C44BF5"/>
    <w:rsid w:val="00C45908"/>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5C2C"/>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04B2"/>
    <w:rsid w:val="00CD0850"/>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5025"/>
    <w:rsid w:val="00D06AB1"/>
    <w:rsid w:val="00D072ED"/>
    <w:rsid w:val="00D07A16"/>
    <w:rsid w:val="00D1067E"/>
    <w:rsid w:val="00D10971"/>
    <w:rsid w:val="00D10F50"/>
    <w:rsid w:val="00D11272"/>
    <w:rsid w:val="00D126F5"/>
    <w:rsid w:val="00D1489E"/>
    <w:rsid w:val="00D16886"/>
    <w:rsid w:val="00D20737"/>
    <w:rsid w:val="00D20844"/>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29A"/>
    <w:rsid w:val="00D51BF3"/>
    <w:rsid w:val="00D66846"/>
    <w:rsid w:val="00D675FB"/>
    <w:rsid w:val="00D70347"/>
    <w:rsid w:val="00D71F25"/>
    <w:rsid w:val="00D72A9C"/>
    <w:rsid w:val="00D77031"/>
    <w:rsid w:val="00D84941"/>
    <w:rsid w:val="00D84FA1"/>
    <w:rsid w:val="00D851F0"/>
    <w:rsid w:val="00D86DB7"/>
    <w:rsid w:val="00D926D0"/>
    <w:rsid w:val="00D93030"/>
    <w:rsid w:val="00D950E1"/>
    <w:rsid w:val="00D952A6"/>
    <w:rsid w:val="00D97F99"/>
    <w:rsid w:val="00DA016E"/>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03B8"/>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45B"/>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5A2"/>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D4858"/>
    <w:rsid w:val="00EE0350"/>
    <w:rsid w:val="00EE0719"/>
    <w:rsid w:val="00EE0E80"/>
    <w:rsid w:val="00EE54A6"/>
    <w:rsid w:val="00EE613F"/>
    <w:rsid w:val="00EE7295"/>
    <w:rsid w:val="00EE7869"/>
    <w:rsid w:val="00EF054A"/>
    <w:rsid w:val="00EF3235"/>
    <w:rsid w:val="00EF7E72"/>
    <w:rsid w:val="00F0039A"/>
    <w:rsid w:val="00F06D37"/>
    <w:rsid w:val="00F07354"/>
    <w:rsid w:val="00F07B9D"/>
    <w:rsid w:val="00F11586"/>
    <w:rsid w:val="00F1183B"/>
    <w:rsid w:val="00F11C9F"/>
    <w:rsid w:val="00F12263"/>
    <w:rsid w:val="00F1409D"/>
    <w:rsid w:val="00F14214"/>
    <w:rsid w:val="00F157A9"/>
    <w:rsid w:val="00F25BB6"/>
    <w:rsid w:val="00F26B7E"/>
    <w:rsid w:val="00F27A3B"/>
    <w:rsid w:val="00F33817"/>
    <w:rsid w:val="00F373AD"/>
    <w:rsid w:val="00F37AF5"/>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0DE"/>
    <w:rsid w:val="00F66A4A"/>
    <w:rsid w:val="00F71891"/>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5A27377"/>
    <w:rsid w:val="07A73C1C"/>
    <w:rsid w:val="07C90793"/>
    <w:rsid w:val="09194354"/>
    <w:rsid w:val="0984554F"/>
    <w:rsid w:val="09F76696"/>
    <w:rsid w:val="0A6865EE"/>
    <w:rsid w:val="0ADD0B72"/>
    <w:rsid w:val="0B091CED"/>
    <w:rsid w:val="0B7975FC"/>
    <w:rsid w:val="0BC01BF6"/>
    <w:rsid w:val="0BE617D5"/>
    <w:rsid w:val="0C1252DA"/>
    <w:rsid w:val="0F0D3039"/>
    <w:rsid w:val="10597C10"/>
    <w:rsid w:val="108B40A6"/>
    <w:rsid w:val="11BB6596"/>
    <w:rsid w:val="11C6015A"/>
    <w:rsid w:val="127E3B8E"/>
    <w:rsid w:val="129A1154"/>
    <w:rsid w:val="12CE5433"/>
    <w:rsid w:val="12F619AA"/>
    <w:rsid w:val="13EE781D"/>
    <w:rsid w:val="150E5F9D"/>
    <w:rsid w:val="17A11AAA"/>
    <w:rsid w:val="186B53B0"/>
    <w:rsid w:val="19751DD4"/>
    <w:rsid w:val="1AB62461"/>
    <w:rsid w:val="1B3F4167"/>
    <w:rsid w:val="1B6C03DE"/>
    <w:rsid w:val="1BA65566"/>
    <w:rsid w:val="1C2D7127"/>
    <w:rsid w:val="1CCF48FD"/>
    <w:rsid w:val="1CD203FA"/>
    <w:rsid w:val="1E8F46BD"/>
    <w:rsid w:val="1F0D2DA9"/>
    <w:rsid w:val="2063580D"/>
    <w:rsid w:val="230947F4"/>
    <w:rsid w:val="24B82068"/>
    <w:rsid w:val="2510127E"/>
    <w:rsid w:val="26DE24CE"/>
    <w:rsid w:val="26F44ACE"/>
    <w:rsid w:val="272D13EE"/>
    <w:rsid w:val="27C0493C"/>
    <w:rsid w:val="27EF09EA"/>
    <w:rsid w:val="298D6ED3"/>
    <w:rsid w:val="2BBF7033"/>
    <w:rsid w:val="2BF34BEA"/>
    <w:rsid w:val="2C1501FD"/>
    <w:rsid w:val="2DD50B9F"/>
    <w:rsid w:val="2E093F97"/>
    <w:rsid w:val="2EF6291B"/>
    <w:rsid w:val="2FC75490"/>
    <w:rsid w:val="30177E03"/>
    <w:rsid w:val="35B0413B"/>
    <w:rsid w:val="35C02333"/>
    <w:rsid w:val="36E87B03"/>
    <w:rsid w:val="37A43127"/>
    <w:rsid w:val="39AE6CBE"/>
    <w:rsid w:val="3B1D19FE"/>
    <w:rsid w:val="3D3C449E"/>
    <w:rsid w:val="3D547912"/>
    <w:rsid w:val="3DCA1373"/>
    <w:rsid w:val="3E436F11"/>
    <w:rsid w:val="3F071EED"/>
    <w:rsid w:val="3F6413ED"/>
    <w:rsid w:val="3F990F3F"/>
    <w:rsid w:val="41554631"/>
    <w:rsid w:val="41733155"/>
    <w:rsid w:val="41C86AF2"/>
    <w:rsid w:val="42DB577B"/>
    <w:rsid w:val="45974C9B"/>
    <w:rsid w:val="489C1623"/>
    <w:rsid w:val="48BA13B4"/>
    <w:rsid w:val="4D174B1E"/>
    <w:rsid w:val="4D934E97"/>
    <w:rsid w:val="4DDD26BE"/>
    <w:rsid w:val="4E495509"/>
    <w:rsid w:val="4F5E4238"/>
    <w:rsid w:val="4FED2D7A"/>
    <w:rsid w:val="50EF05EF"/>
    <w:rsid w:val="51E20DB8"/>
    <w:rsid w:val="51E54422"/>
    <w:rsid w:val="53FB5F44"/>
    <w:rsid w:val="54213B13"/>
    <w:rsid w:val="55173EAD"/>
    <w:rsid w:val="574D129D"/>
    <w:rsid w:val="589B6C06"/>
    <w:rsid w:val="5A0E1F1F"/>
    <w:rsid w:val="5AED1D7A"/>
    <w:rsid w:val="5C2B0BEE"/>
    <w:rsid w:val="5C627FEF"/>
    <w:rsid w:val="5F6525BE"/>
    <w:rsid w:val="60030A5E"/>
    <w:rsid w:val="6103337B"/>
    <w:rsid w:val="616D527C"/>
    <w:rsid w:val="623A3A91"/>
    <w:rsid w:val="641F3A87"/>
    <w:rsid w:val="64A209D3"/>
    <w:rsid w:val="654F7759"/>
    <w:rsid w:val="656A682E"/>
    <w:rsid w:val="66513BA2"/>
    <w:rsid w:val="668734C3"/>
    <w:rsid w:val="66F93E1B"/>
    <w:rsid w:val="69F55FAD"/>
    <w:rsid w:val="6B3B477B"/>
    <w:rsid w:val="6D9618B1"/>
    <w:rsid w:val="6E425565"/>
    <w:rsid w:val="6EDE3127"/>
    <w:rsid w:val="6FC5455D"/>
    <w:rsid w:val="6FC646EE"/>
    <w:rsid w:val="700807FD"/>
    <w:rsid w:val="70AA28E3"/>
    <w:rsid w:val="70C71DFC"/>
    <w:rsid w:val="70F1429C"/>
    <w:rsid w:val="717C13AC"/>
    <w:rsid w:val="724B001B"/>
    <w:rsid w:val="727834F8"/>
    <w:rsid w:val="72CE5543"/>
    <w:rsid w:val="73CD5AE8"/>
    <w:rsid w:val="73D44EF4"/>
    <w:rsid w:val="76210D55"/>
    <w:rsid w:val="77A912E8"/>
    <w:rsid w:val="7ACE60AF"/>
    <w:rsid w:val="7ADB2415"/>
    <w:rsid w:val="7B617866"/>
    <w:rsid w:val="7BC850EB"/>
    <w:rsid w:val="7BEE7228"/>
    <w:rsid w:val="7C250F24"/>
    <w:rsid w:val="7CDA4D22"/>
    <w:rsid w:val="7E030AED"/>
    <w:rsid w:val="7E3B0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rFonts w:ascii="Times New Roman" w:hAnsi="Times New Roman"/>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rFonts w:ascii="Times New Roman" w:hAnsi="Times New Roman"/>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qFormat/>
    <w:uiPriority w:val="0"/>
    <w:pPr>
      <w:jc w:val="left"/>
    </w:pPr>
  </w:style>
  <w:style w:type="paragraph" w:styleId="14">
    <w:name w:val="Body Text"/>
    <w:basedOn w:val="1"/>
    <w:link w:val="87"/>
    <w:qFormat/>
    <w:uiPriority w:val="0"/>
    <w:pPr>
      <w:spacing w:after="120"/>
    </w:pPr>
    <w:rPr>
      <w:rFonts w:ascii="Times New Roman" w:hAnsi="Times New Roman"/>
      <w:szCs w:val="20"/>
    </w:r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hAnsi="Times New Roman"/>
      <w:sz w:val="18"/>
      <w:szCs w:val="18"/>
    </w:rPr>
  </w:style>
  <w:style w:type="paragraph" w:styleId="19">
    <w:name w:val="header"/>
    <w:basedOn w:val="1"/>
    <w:link w:val="44"/>
    <w:qFormat/>
    <w:uiPriority w:val="99"/>
    <w:pPr>
      <w:tabs>
        <w:tab w:val="center" w:pos="4153"/>
        <w:tab w:val="right" w:pos="8306"/>
      </w:tabs>
      <w:adjustRightInd/>
      <w:snapToGrid w:val="0"/>
      <w:jc w:val="center"/>
    </w:pPr>
    <w:rPr>
      <w:rFonts w:ascii="Times New Roman" w:hAnsi="Times New Roman"/>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hAnsi="Times New Roman"/>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rFonts w:ascii="Times New Roman" w:hAnsi="Times New Roman" w:eastAsia="宋体" w:cs="Times New Roman"/>
      <w:b/>
      <w:bCs/>
      <w:kern w:val="44"/>
      <w:sz w:val="44"/>
      <w:szCs w:val="44"/>
    </w:rPr>
  </w:style>
  <w:style w:type="character" w:customStyle="1" w:styleId="36">
    <w:name w:val="标题 2 字符"/>
    <w:link w:val="3"/>
    <w:qFormat/>
    <w:uiPriority w:val="0"/>
    <w:rPr>
      <w:rFonts w:ascii="Arial" w:hAnsi="Arial" w:eastAsia="黑体" w:cs="Times New Roman"/>
      <w:b/>
      <w:bCs/>
      <w:sz w:val="32"/>
      <w:szCs w:val="32"/>
    </w:rPr>
  </w:style>
  <w:style w:type="character" w:customStyle="1" w:styleId="37">
    <w:name w:val="标题 3 字符"/>
    <w:link w:val="4"/>
    <w:qFormat/>
    <w:uiPriority w:val="0"/>
    <w:rPr>
      <w:rFonts w:ascii="Times New Roman" w:hAnsi="Times New Roman" w:eastAsia="宋体" w:cs="Times New Roman"/>
      <w:b/>
      <w:bCs/>
      <w:sz w:val="32"/>
      <w:szCs w:val="32"/>
    </w:rPr>
  </w:style>
  <w:style w:type="character" w:customStyle="1" w:styleId="38">
    <w:name w:val="标题 4 字符"/>
    <w:link w:val="5"/>
    <w:qFormat/>
    <w:uiPriority w:val="0"/>
    <w:rPr>
      <w:rFonts w:ascii="Arial" w:hAnsi="Arial" w:eastAsia="黑体" w:cs="Times New Roman"/>
      <w:b/>
      <w:bCs/>
      <w:sz w:val="28"/>
      <w:szCs w:val="28"/>
    </w:rPr>
  </w:style>
  <w:style w:type="character" w:customStyle="1" w:styleId="39">
    <w:name w:val="标题 5 字符"/>
    <w:link w:val="6"/>
    <w:qFormat/>
    <w:uiPriority w:val="0"/>
    <w:rPr>
      <w:rFonts w:ascii="Times New Roman" w:hAnsi="Times New Roman" w:eastAsia="宋体" w:cs="Times New Roman"/>
      <w:b/>
      <w:bCs/>
      <w:sz w:val="28"/>
      <w:szCs w:val="28"/>
    </w:rPr>
  </w:style>
  <w:style w:type="character" w:customStyle="1" w:styleId="40">
    <w:name w:val="标题 6 字符"/>
    <w:link w:val="7"/>
    <w:qFormat/>
    <w:uiPriority w:val="0"/>
    <w:rPr>
      <w:rFonts w:ascii="Arial" w:hAnsi="Arial" w:eastAsia="黑体" w:cs="Times New Roman"/>
      <w:b/>
      <w:bCs/>
      <w:sz w:val="24"/>
      <w:szCs w:val="24"/>
    </w:rPr>
  </w:style>
  <w:style w:type="character" w:customStyle="1" w:styleId="41">
    <w:name w:val="标题 7 字符"/>
    <w:link w:val="8"/>
    <w:qFormat/>
    <w:uiPriority w:val="0"/>
    <w:rPr>
      <w:rFonts w:ascii="Times New Roman" w:hAnsi="Times New Roman" w:eastAsia="宋体" w:cs="Times New Roman"/>
      <w:b/>
      <w:bCs/>
      <w:sz w:val="24"/>
      <w:szCs w:val="24"/>
    </w:rPr>
  </w:style>
  <w:style w:type="character" w:customStyle="1" w:styleId="42">
    <w:name w:val="标题 8 字符"/>
    <w:link w:val="9"/>
    <w:qFormat/>
    <w:uiPriority w:val="0"/>
    <w:rPr>
      <w:rFonts w:ascii="Arial" w:hAnsi="Arial" w:eastAsia="黑体" w:cs="Times New Roman"/>
      <w:sz w:val="24"/>
      <w:szCs w:val="24"/>
    </w:rPr>
  </w:style>
  <w:style w:type="character" w:customStyle="1" w:styleId="43">
    <w:name w:val="标题 9 字符"/>
    <w:link w:val="10"/>
    <w:qFormat/>
    <w:uiPriority w:val="0"/>
    <w:rPr>
      <w:rFonts w:ascii="Arial" w:hAnsi="Arial" w:eastAsia="黑体" w:cs="Times New Roman"/>
      <w:szCs w:val="21"/>
    </w:rPr>
  </w:style>
  <w:style w:type="character" w:customStyle="1" w:styleId="44">
    <w:name w:val="页眉 字符"/>
    <w:link w:val="19"/>
    <w:qFormat/>
    <w:uiPriority w:val="99"/>
    <w:rPr>
      <w:rFonts w:ascii="Times New Roman" w:hAnsi="Times New Roman" w:eastAsia="宋体" w:cs="Times New Roman"/>
      <w:sz w:val="18"/>
      <w:szCs w:val="18"/>
    </w:rPr>
  </w:style>
  <w:style w:type="character" w:customStyle="1" w:styleId="45">
    <w:name w:val="页脚 字符"/>
    <w:link w:val="18"/>
    <w:qFormat/>
    <w:uiPriority w:val="99"/>
    <w:rPr>
      <w:rFonts w:ascii="宋体" w:hAnsi="Times New Roman" w:eastAsia="宋体" w:cs="Times New Roman"/>
      <w:sz w:val="18"/>
      <w:szCs w:val="18"/>
    </w:rPr>
  </w:style>
  <w:style w:type="character" w:customStyle="1" w:styleId="46">
    <w:name w:val="批注框文本 字符"/>
    <w:link w:val="17"/>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rPr>
  </w:style>
  <w:style w:type="character" w:customStyle="1" w:styleId="49">
    <w:name w:val="标题 字符"/>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rFonts w:ascii="Times New Roman" w:hAnsi="Times New Roman"/>
      <w:kern w:val="0"/>
    </w:rPr>
  </w:style>
  <w:style w:type="paragraph" w:customStyle="1" w:styleId="57">
    <w:name w:val="标准文件_段"/>
    <w:link w:val="185"/>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4"/>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560"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2"/>
    <w:semiHidden/>
    <w:qFormat/>
    <w:uiPriority w:val="0"/>
    <w:rPr>
      <w:rFonts w:ascii="宋体" w:hAnsi="Times New Roman" w:eastAsia="宋体" w:cs="Times New Roman"/>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Times New Roman"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style>
  <w:style w:type="paragraph" w:customStyle="1" w:styleId="190">
    <w:name w:val="标准文件_一级项2"/>
    <w:basedOn w:val="57"/>
    <w:qFormat/>
    <w:uiPriority w:val="0"/>
    <w:pPr>
      <w:numPr>
        <w:ilvl w:val="0"/>
        <w:numId w:val="31"/>
      </w:numPr>
      <w:spacing w:line="300" w:lineRule="exact"/>
      <w:ind w:left="1271" w:hanging="420" w:firstLineChars="0"/>
    </w:p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rFonts w:ascii="宋体"/>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2">
    <w:name w:val="章标题"/>
    <w:next w:val="231"/>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3">
    <w:name w:val="一级条标题"/>
    <w:next w:val="231"/>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4">
    <w:name w:val="二级无"/>
    <w:basedOn w:val="235"/>
    <w:qFormat/>
    <w:uiPriority w:val="0"/>
    <w:pPr>
      <w:spacing w:before="0" w:beforeLines="0" w:after="0" w:afterLines="0"/>
    </w:pPr>
    <w:rPr>
      <w:rFonts w:ascii="宋体" w:eastAsia="宋体"/>
    </w:rPr>
  </w:style>
  <w:style w:type="paragraph" w:customStyle="1" w:styleId="235">
    <w:name w:val="二级条标题"/>
    <w:basedOn w:val="233"/>
    <w:next w:val="231"/>
    <w:qFormat/>
    <w:uiPriority w:val="0"/>
    <w:pPr>
      <w:numPr>
        <w:ilvl w:val="2"/>
      </w:numPr>
      <w:spacing w:before="50" w:after="50"/>
      <w:outlineLvl w:val="3"/>
    </w:pPr>
  </w:style>
  <w:style w:type="paragraph" w:customStyle="1" w:styleId="236">
    <w:name w:val="三级条标题"/>
    <w:basedOn w:val="235"/>
    <w:next w:val="231"/>
    <w:qFormat/>
    <w:uiPriority w:val="0"/>
    <w:pPr>
      <w:numPr>
        <w:ilvl w:val="3"/>
      </w:numPr>
      <w:outlineLvl w:val="4"/>
    </w:pPr>
  </w:style>
  <w:style w:type="paragraph" w:customStyle="1" w:styleId="237">
    <w:name w:val="四级条标题"/>
    <w:basedOn w:val="236"/>
    <w:next w:val="231"/>
    <w:qFormat/>
    <w:uiPriority w:val="0"/>
    <w:pPr>
      <w:numPr>
        <w:ilvl w:val="4"/>
      </w:numPr>
      <w:outlineLvl w:val="5"/>
    </w:pPr>
  </w:style>
  <w:style w:type="table" w:customStyle="1" w:styleId="238">
    <w:name w:val="Table Normal"/>
    <w:unhideWhenUsed/>
    <w:qFormat/>
    <w:uiPriority w:val="0"/>
    <w:tblPr>
      <w:tblCellMar>
        <w:top w:w="0" w:type="dxa"/>
        <w:left w:w="0" w:type="dxa"/>
        <w:bottom w:w="0" w:type="dxa"/>
        <w:right w:w="0" w:type="dxa"/>
      </w:tblCellMar>
    </w:tblPr>
  </w:style>
  <w:style w:type="paragraph" w:customStyle="1" w:styleId="239">
    <w:name w:val="Table Text"/>
    <w:basedOn w:val="1"/>
    <w:semiHidden/>
    <w:qFormat/>
    <w:uiPriority w:val="0"/>
    <w:rPr>
      <w:rFonts w:ascii="宋体" w:hAnsi="宋体" w:cs="宋体"/>
      <w:sz w:val="16"/>
      <w:szCs w:val="16"/>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4A38090058141E5BCF867FEE79180DC"/>
        <w:style w:val=""/>
        <w:category>
          <w:name w:val="常规"/>
          <w:gallery w:val="placeholder"/>
        </w:category>
        <w:types>
          <w:type w:val="bbPlcHdr"/>
        </w:types>
        <w:behaviors>
          <w:behavior w:val="content"/>
        </w:behaviors>
        <w:description w:val=""/>
        <w:guid w:val="{3E435CD4-A942-486C-B99C-687EB01641D9}"/>
      </w:docPartPr>
      <w:docPartBody>
        <w:p w14:paraId="3AC7D77F">
          <w:pPr>
            <w:pStyle w:val="5"/>
            <w:rPr>
              <w:rFonts w:hint="eastAsia"/>
            </w:rPr>
          </w:pPr>
          <w:r>
            <w:rPr>
              <w:rStyle w:val="4"/>
              <w:rFonts w:hint="eastAsia"/>
            </w:rPr>
            <w:t>单击或点击此处输入文字。</w:t>
          </w:r>
        </w:p>
      </w:docPartBody>
    </w:docPart>
    <w:docPart>
      <w:docPartPr>
        <w:name w:val="83ACEA082902419DAEC754314F0D2502"/>
        <w:style w:val=""/>
        <w:category>
          <w:name w:val="常规"/>
          <w:gallery w:val="placeholder"/>
        </w:category>
        <w:types>
          <w:type w:val="bbPlcHdr"/>
        </w:types>
        <w:behaviors>
          <w:behavior w:val="content"/>
        </w:behaviors>
        <w:description w:val=""/>
        <w:guid w:val="{EAB02F69-0057-4016-B783-9EFBE6ED4674}"/>
      </w:docPartPr>
      <w:docPartBody>
        <w:p w14:paraId="210C3B53">
          <w:pPr>
            <w:pStyle w:val="6"/>
            <w:rPr>
              <w:rFonts w:hint="eastAsia"/>
            </w:rPr>
          </w:pPr>
          <w:r>
            <w:rPr>
              <w:rStyle w:val="4"/>
              <w:rFonts w:hint="eastAsia"/>
            </w:rPr>
            <w:t>选择一项。</w:t>
          </w:r>
        </w:p>
      </w:docPartBody>
    </w:docPart>
    <w:docPart>
      <w:docPartPr>
        <w:name w:val="1300A4C75D794D6291D16A5282D6F457"/>
        <w:style w:val=""/>
        <w:category>
          <w:name w:val="常规"/>
          <w:gallery w:val="placeholder"/>
        </w:category>
        <w:types>
          <w:type w:val="bbPlcHdr"/>
        </w:types>
        <w:behaviors>
          <w:behavior w:val="content"/>
        </w:behaviors>
        <w:description w:val=""/>
        <w:guid w:val="{57C2592D-AC40-4B99-9ED8-C705F3CB6DF5}"/>
      </w:docPartPr>
      <w:docPartBody>
        <w:p w14:paraId="13455E81">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3D5"/>
    <w:rsid w:val="001E0933"/>
    <w:rsid w:val="00320115"/>
    <w:rsid w:val="003418B9"/>
    <w:rsid w:val="003637CD"/>
    <w:rsid w:val="004C1923"/>
    <w:rsid w:val="00774E10"/>
    <w:rsid w:val="00A73677"/>
    <w:rsid w:val="00AF3BEA"/>
    <w:rsid w:val="00B17D52"/>
    <w:rsid w:val="00CD04B2"/>
    <w:rsid w:val="00D10971"/>
    <w:rsid w:val="00F01D88"/>
    <w:rsid w:val="00F07354"/>
    <w:rsid w:val="00F203D5"/>
    <w:rsid w:val="00F71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4A38090058141E5BCF867FEE79180D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83ACEA082902419DAEC754314F0D250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1300A4C75D794D6291D16A5282D6F45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datastoreItem>
</file>

<file path=docProps/app.xml><?xml version="1.0" encoding="utf-8"?>
<Properties xmlns="http://schemas.openxmlformats.org/officeDocument/2006/extended-properties" xmlns:vt="http://schemas.openxmlformats.org/officeDocument/2006/docPropsVTypes">
  <Template>地方标准</Template>
  <Pages>14</Pages>
  <Words>1633</Words>
  <Characters>1883</Characters>
  <Lines>227</Lines>
  <Paragraphs>256</Paragraphs>
  <TotalTime>11</TotalTime>
  <ScaleCrop>false</ScaleCrop>
  <LinksUpToDate>false</LinksUpToDate>
  <CharactersWithSpaces>1949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2025-09-01T08:30:00Z</dcterms:created>
  <dc:creator>Administrator</dc:creator>
  <cp:lastModifiedBy> </cp:lastModifiedBy>
  <dcterms:modified xsi:type="dcterms:W3CDTF">2025-11-26T08:51:04Z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746725A9C9F64D0784E65E0A667332F3_13</vt:lpwstr>
  </property>
  <property fmtid="{D5CDD505-2E9C-101B-9397-08002B2CF9AE}" pid="15" name="KSOProductBuildVer">
    <vt:lpwstr>2052-12.1.0.23542</vt:lpwstr>
  </property>
  <property fmtid="{D5CDD505-2E9C-101B-9397-08002B2CF9AE}" pid="16" name="KSOTemplateDocerSaveRecord">
    <vt:lpwstr>eyJoZGlkIjoiNWNkN2FkOGExZmM5NzIzNDYzZDQ1NmZjNTA3NjI4MzciLCJ1c2VySWQiOiI3NDQxOTQyNjgifQ==</vt:lpwstr>
  </property>
</Properties>
</file>