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22" w:type="dxa"/>
        <w:jc w:val="center"/>
        <w:tblLayout w:type="fixed"/>
        <w:tblLook w:val="04A0" w:firstRow="1" w:lastRow="0" w:firstColumn="1" w:lastColumn="0" w:noHBand="0" w:noVBand="1"/>
      </w:tblPr>
      <w:tblGrid>
        <w:gridCol w:w="8522"/>
      </w:tblGrid>
      <w:tr w:rsidR="00801807">
        <w:trPr>
          <w:trHeight w:val="2880"/>
          <w:jc w:val="center"/>
        </w:trPr>
        <w:tc>
          <w:tcPr>
            <w:tcW w:w="8522" w:type="dxa"/>
          </w:tcPr>
          <w:p w:rsidR="00801807" w:rsidRDefault="00801807">
            <w:pPr>
              <w:pStyle w:val="a7"/>
              <w:jc w:val="center"/>
              <w:rPr>
                <w:rFonts w:ascii="Times New Roman" w:eastAsiaTheme="majorEastAsia" w:hAnsi="Times New Roman" w:cs="Times New Roman"/>
                <w:caps/>
              </w:rPr>
            </w:pPr>
          </w:p>
        </w:tc>
      </w:tr>
      <w:tr w:rsidR="00801807">
        <w:trPr>
          <w:trHeight w:val="1440"/>
          <w:jc w:val="center"/>
        </w:trPr>
        <w:sdt>
          <w:sdtPr>
            <w:rPr>
              <w:rFonts w:ascii="Times New Roman" w:eastAsiaTheme="majorEastAsia" w:hAnsi="Times New Roman" w:cs="Times New Roman"/>
              <w:sz w:val="80"/>
              <w:szCs w:val="80"/>
            </w:rPr>
            <w:alias w:val="标题"/>
            <w:id w:val="15524250"/>
            <w:text/>
          </w:sdtPr>
          <w:sdtEndPr/>
          <w:sdtContent>
            <w:tc>
              <w:tcPr>
                <w:tcW w:w="8522" w:type="dxa"/>
                <w:tcBorders>
                  <w:bottom w:val="single" w:sz="4" w:space="0" w:color="4F81BD" w:themeColor="accent1"/>
                </w:tcBorders>
                <w:vAlign w:val="center"/>
              </w:tcPr>
              <w:p w:rsidR="00801807" w:rsidRDefault="00F517AE">
                <w:pPr>
                  <w:pStyle w:val="a7"/>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2018</w:t>
                </w:r>
                <w:r>
                  <w:rPr>
                    <w:rFonts w:ascii="Times New Roman" w:eastAsiaTheme="majorEastAsia" w:hAnsi="Times New Roman" w:cs="Times New Roman" w:hint="eastAsia"/>
                    <w:sz w:val="80"/>
                    <w:szCs w:val="80"/>
                  </w:rPr>
                  <w:t>年东莞市中医院部门预算</w:t>
                </w:r>
              </w:p>
            </w:tc>
          </w:sdtContent>
        </w:sdt>
      </w:tr>
    </w:tbl>
    <w:p w:rsidR="00801807" w:rsidRDefault="00F517AE">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801807" w:rsidRDefault="00F517AE">
      <w:pPr>
        <w:spacing w:line="52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801807" w:rsidRDefault="00F517AE">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部门概况</w:t>
      </w:r>
    </w:p>
    <w:p w:rsidR="00801807" w:rsidRDefault="00F517AE">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一、部门主要职责</w:t>
      </w:r>
    </w:p>
    <w:p w:rsidR="00801807" w:rsidRDefault="00F517AE">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二、部门预算单位构成</w:t>
      </w:r>
    </w:p>
    <w:p w:rsidR="00801807" w:rsidRDefault="00F517AE">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三、人员情况</w:t>
      </w:r>
    </w:p>
    <w:p w:rsidR="00801807" w:rsidRDefault="00F517AE">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8</w:t>
      </w:r>
      <w:r>
        <w:rPr>
          <w:rFonts w:ascii="Times New Roman" w:eastAsia="黑体" w:hAnsi="Times New Roman" w:cs="Times New Roman"/>
          <w:sz w:val="32"/>
          <w:szCs w:val="32"/>
        </w:rPr>
        <w:t>年部门</w:t>
      </w:r>
      <w:r>
        <w:rPr>
          <w:rFonts w:ascii="Times New Roman" w:eastAsia="黑体" w:hAnsi="Times New Roman" w:cs="Times New Roman" w:hint="eastAsia"/>
          <w:sz w:val="32"/>
          <w:szCs w:val="32"/>
        </w:rPr>
        <w:t>预算</w:t>
      </w:r>
      <w:r>
        <w:rPr>
          <w:rFonts w:ascii="Times New Roman" w:eastAsia="黑体" w:hAnsi="Times New Roman" w:cs="Times New Roman"/>
          <w:sz w:val="32"/>
          <w:szCs w:val="32"/>
        </w:rPr>
        <w:t>情况说明</w:t>
      </w:r>
    </w:p>
    <w:p w:rsidR="00801807" w:rsidRDefault="00F517AE">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年财政拨款收支预算情况的总体说明</w:t>
      </w:r>
    </w:p>
    <w:p w:rsidR="00801807" w:rsidRDefault="00F517AE">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年一般公共预算当年财政拨款情况说明</w:t>
      </w:r>
    </w:p>
    <w:p w:rsidR="00801807" w:rsidRDefault="00F517AE">
      <w:pPr>
        <w:spacing w:line="52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年一般公共预算当年财政拨款基本支出情况说明</w:t>
      </w:r>
    </w:p>
    <w:p w:rsidR="00801807" w:rsidRDefault="00F517A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年一般公共预算“三公”经费预算情况说明</w:t>
      </w:r>
    </w:p>
    <w:p w:rsidR="00801807" w:rsidRDefault="00F517A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年政府性基金预算当年财政拨款支出情况说明</w:t>
      </w:r>
    </w:p>
    <w:p w:rsidR="00801807" w:rsidRDefault="00F517A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hint="eastAsia"/>
          <w:sz w:val="32"/>
          <w:szCs w:val="32"/>
        </w:rPr>
        <w:t>2018</w:t>
      </w:r>
      <w:r>
        <w:rPr>
          <w:rFonts w:ascii="Times New Roman" w:eastAsia="仿宋_GB2312" w:hAnsi="Times New Roman" w:cs="Times New Roman" w:hint="eastAsia"/>
          <w:sz w:val="32"/>
          <w:szCs w:val="32"/>
        </w:rPr>
        <w:t>年收支预算情况说明</w:t>
      </w:r>
    </w:p>
    <w:p w:rsidR="00801807" w:rsidRDefault="00F517AE">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七、其他重要事项的情况说明</w:t>
      </w:r>
    </w:p>
    <w:p w:rsidR="00801807" w:rsidRDefault="00F517AE">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专业名词解释</w:t>
      </w:r>
    </w:p>
    <w:p w:rsidR="00801807" w:rsidRDefault="00F517AE">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第四部分</w:t>
      </w:r>
      <w:r>
        <w:rPr>
          <w:rFonts w:ascii="Times New Roman" w:eastAsia="黑体" w:hAnsi="Times New Roman" w:cs="Times New Roman" w:hint="eastAsia"/>
          <w:sz w:val="32"/>
          <w:szCs w:val="32"/>
        </w:rPr>
        <w:t xml:space="preserve"> 2018</w:t>
      </w:r>
      <w:r>
        <w:rPr>
          <w:rFonts w:ascii="Times New Roman" w:eastAsia="黑体" w:hAnsi="Times New Roman" w:cs="Times New Roman" w:hint="eastAsia"/>
          <w:sz w:val="32"/>
          <w:szCs w:val="32"/>
        </w:rPr>
        <w:t>年部门预算表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一、财政拨款收支总表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二、一般公共预算支出表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三、一般公共预算基本支出表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四、一般公共预算项目支出表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五、一般公共预算“三公”经费支出表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六、政府性基金预算支出表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七、部门收支总表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八、部门收入总表</w:t>
      </w:r>
    </w:p>
    <w:p w:rsidR="00801807" w:rsidRDefault="00F517AE">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九、部门支出总表</w:t>
      </w:r>
    </w:p>
    <w:p w:rsidR="00801807" w:rsidRDefault="00F517AE">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801807" w:rsidRDefault="00F517AE">
      <w:pPr>
        <w:jc w:val="center"/>
        <w:rPr>
          <w:rFonts w:ascii="黑体" w:eastAsia="黑体" w:hAnsi="黑体" w:cs="Times New Roman"/>
          <w:sz w:val="32"/>
          <w:szCs w:val="32"/>
        </w:rPr>
      </w:pPr>
      <w:r>
        <w:rPr>
          <w:rFonts w:ascii="黑体" w:eastAsia="黑体" w:hAnsi="黑体" w:cs="Times New Roman" w:hint="eastAsia"/>
          <w:sz w:val="32"/>
          <w:szCs w:val="32"/>
        </w:rPr>
        <w:lastRenderedPageBreak/>
        <w:t>第一部分</w:t>
      </w:r>
      <w:r>
        <w:rPr>
          <w:rFonts w:ascii="黑体" w:eastAsia="黑体" w:hAnsi="黑体" w:cs="Times New Roman" w:hint="eastAsia"/>
          <w:sz w:val="32"/>
          <w:szCs w:val="32"/>
        </w:rPr>
        <w:t xml:space="preserve">  </w:t>
      </w:r>
      <w:r>
        <w:rPr>
          <w:rFonts w:ascii="黑体" w:eastAsia="黑体" w:hAnsi="黑体" w:cs="Times New Roman" w:hint="eastAsia"/>
          <w:sz w:val="32"/>
          <w:szCs w:val="32"/>
        </w:rPr>
        <w:t>部门概况</w:t>
      </w:r>
    </w:p>
    <w:p w:rsidR="00801807" w:rsidRDefault="00F517AE">
      <w:pPr>
        <w:ind w:firstLineChars="200" w:firstLine="640"/>
        <w:rPr>
          <w:rFonts w:ascii="黑体" w:eastAsia="黑体" w:hAnsi="黑体" w:cs="Times New Roman"/>
          <w:sz w:val="32"/>
          <w:szCs w:val="32"/>
        </w:rPr>
      </w:pPr>
      <w:r>
        <w:rPr>
          <w:rFonts w:ascii="黑体" w:eastAsia="黑体" w:hAnsi="黑体" w:cs="Times New Roman" w:hint="eastAsia"/>
          <w:sz w:val="32"/>
          <w:szCs w:val="32"/>
        </w:rPr>
        <w:t>一、部门主要职责</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东莞市中医院始建于</w:t>
      </w:r>
      <w:r>
        <w:rPr>
          <w:rFonts w:ascii="仿宋_GB2312" w:eastAsia="仿宋_GB2312" w:hAnsi="Times New Roman" w:cs="Times New Roman" w:hint="eastAsia"/>
          <w:sz w:val="32"/>
          <w:szCs w:val="32"/>
        </w:rPr>
        <w:t>1965</w:t>
      </w:r>
      <w:r>
        <w:rPr>
          <w:rFonts w:ascii="仿宋_GB2312" w:eastAsia="仿宋_GB2312" w:hAnsi="Times New Roman" w:cs="Times New Roman" w:hint="eastAsia"/>
          <w:sz w:val="32"/>
          <w:szCs w:val="32"/>
        </w:rPr>
        <w:t>年，现拥有新院本部和</w:t>
      </w:r>
      <w:proofErr w:type="gramStart"/>
      <w:r>
        <w:rPr>
          <w:rFonts w:ascii="仿宋_GB2312" w:eastAsia="仿宋_GB2312" w:hAnsi="Times New Roman" w:cs="Times New Roman" w:hint="eastAsia"/>
          <w:sz w:val="32"/>
          <w:szCs w:val="32"/>
        </w:rPr>
        <w:t>莞</w:t>
      </w:r>
      <w:proofErr w:type="gramEnd"/>
      <w:r>
        <w:rPr>
          <w:rFonts w:ascii="仿宋_GB2312" w:eastAsia="仿宋_GB2312" w:hAnsi="Times New Roman" w:cs="Times New Roman" w:hint="eastAsia"/>
          <w:sz w:val="32"/>
          <w:szCs w:val="32"/>
        </w:rPr>
        <w:t>城分院两个院区，以及中心门诊部、</w:t>
      </w:r>
      <w:proofErr w:type="gramStart"/>
      <w:r>
        <w:rPr>
          <w:rFonts w:ascii="仿宋_GB2312" w:eastAsia="仿宋_GB2312" w:hAnsi="Times New Roman" w:cs="Times New Roman" w:hint="eastAsia"/>
          <w:sz w:val="32"/>
          <w:szCs w:val="32"/>
        </w:rPr>
        <w:t>莞</w:t>
      </w:r>
      <w:proofErr w:type="gramEnd"/>
      <w:r>
        <w:rPr>
          <w:rFonts w:ascii="仿宋_GB2312" w:eastAsia="仿宋_GB2312" w:hAnsi="Times New Roman" w:cs="Times New Roman" w:hint="eastAsia"/>
          <w:sz w:val="32"/>
          <w:szCs w:val="32"/>
        </w:rPr>
        <w:t>城分院门诊部、公务员小区</w:t>
      </w:r>
      <w:proofErr w:type="gramStart"/>
      <w:r>
        <w:rPr>
          <w:rFonts w:ascii="仿宋_GB2312" w:eastAsia="仿宋_GB2312" w:hAnsi="Times New Roman" w:cs="Times New Roman" w:hint="eastAsia"/>
          <w:sz w:val="32"/>
          <w:szCs w:val="32"/>
        </w:rPr>
        <w:t>莞翠村</w:t>
      </w:r>
      <w:proofErr w:type="gramEnd"/>
      <w:r>
        <w:rPr>
          <w:rFonts w:ascii="仿宋_GB2312" w:eastAsia="仿宋_GB2312" w:hAnsi="Times New Roman" w:cs="Times New Roman" w:hint="eastAsia"/>
          <w:sz w:val="32"/>
          <w:szCs w:val="32"/>
        </w:rPr>
        <w:t>中医门诊部等三个门诊；下属机构有东莞市中医药研究所、东莞市老年病防治研究所、东莞市骨伤科研究所、即将成立东</w:t>
      </w:r>
      <w:r>
        <w:rPr>
          <w:rFonts w:ascii="仿宋_GB2312" w:eastAsia="仿宋_GB2312" w:hAnsi="Times New Roman" w:cs="Times New Roman" w:hint="eastAsia"/>
          <w:sz w:val="32"/>
          <w:szCs w:val="32"/>
        </w:rPr>
        <w:t>莞市骨伤科实验中心。未来，东莞市中医院将建立一所中医药特色突出、中西医并重，集</w:t>
      </w:r>
      <w:proofErr w:type="gramStart"/>
      <w:r>
        <w:rPr>
          <w:rFonts w:ascii="仿宋_GB2312" w:eastAsia="仿宋_GB2312" w:hAnsi="Times New Roman" w:cs="Times New Roman" w:hint="eastAsia"/>
          <w:sz w:val="32"/>
          <w:szCs w:val="32"/>
        </w:rPr>
        <w:t>医</w:t>
      </w:r>
      <w:proofErr w:type="gramEnd"/>
      <w:r>
        <w:rPr>
          <w:rFonts w:ascii="仿宋_GB2312" w:eastAsia="仿宋_GB2312" w:hAnsi="Times New Roman" w:cs="Times New Roman" w:hint="eastAsia"/>
          <w:sz w:val="32"/>
          <w:szCs w:val="32"/>
        </w:rPr>
        <w:t>、教、</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、防治、保健、康复为一体的大型现代化综合性中医院和东莞地区性中医医疗中心。</w:t>
      </w:r>
    </w:p>
    <w:p w:rsidR="00801807" w:rsidRDefault="00F517AE">
      <w:pPr>
        <w:ind w:firstLineChars="200" w:firstLine="640"/>
        <w:rPr>
          <w:rFonts w:ascii="黑体" w:eastAsia="黑体" w:hAnsi="黑体" w:cs="Times New Roman"/>
          <w:sz w:val="32"/>
          <w:szCs w:val="32"/>
        </w:rPr>
      </w:pPr>
      <w:r>
        <w:rPr>
          <w:rFonts w:ascii="黑体" w:eastAsia="黑体" w:hAnsi="黑体" w:cs="Times New Roman" w:hint="eastAsia"/>
          <w:sz w:val="32"/>
          <w:szCs w:val="32"/>
        </w:rPr>
        <w:t>二、部门预算单位构成</w:t>
      </w:r>
    </w:p>
    <w:p w:rsidR="00801807" w:rsidRDefault="00F517AE">
      <w:pPr>
        <w:ind w:firstLineChars="150" w:firstLine="48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从预算单位构成看，纳入</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年东莞市中医院部门预算编报范围的单位为东莞市中医院，</w:t>
      </w:r>
      <w:r>
        <w:rPr>
          <w:rFonts w:ascii="Times New Roman" w:eastAsia="仿宋_GB2312" w:hAnsi="Times New Roman" w:cs="Times New Roman" w:hint="eastAsia"/>
          <w:sz w:val="32"/>
          <w:szCs w:val="32"/>
        </w:rPr>
        <w:t>本部门没有下属单位。</w:t>
      </w:r>
    </w:p>
    <w:p w:rsidR="00801807" w:rsidRDefault="00F517AE">
      <w:pPr>
        <w:ind w:firstLineChars="200" w:firstLine="640"/>
        <w:rPr>
          <w:rFonts w:ascii="黑体" w:eastAsia="黑体" w:hAnsi="黑体" w:cs="Times New Roman"/>
          <w:sz w:val="32"/>
          <w:szCs w:val="32"/>
        </w:rPr>
      </w:pPr>
      <w:r>
        <w:rPr>
          <w:rFonts w:ascii="黑体" w:eastAsia="黑体" w:hAnsi="黑体" w:cs="Times New Roman" w:hint="eastAsia"/>
          <w:sz w:val="32"/>
          <w:szCs w:val="32"/>
        </w:rPr>
        <w:t>三、人员情况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年，东莞市中医院共有事业编制数</w:t>
      </w:r>
      <w:r>
        <w:rPr>
          <w:rFonts w:ascii="仿宋_GB2312" w:eastAsia="仿宋_GB2312" w:hAnsi="Times New Roman" w:cs="Times New Roman" w:hint="eastAsia"/>
          <w:sz w:val="32"/>
          <w:szCs w:val="32"/>
        </w:rPr>
        <w:t>53</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名，其中财政供养的编内实有在职人员</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人</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非财政供养的编内实有在职人员</w:t>
      </w:r>
      <w:r>
        <w:rPr>
          <w:rFonts w:ascii="仿宋_GB2312" w:eastAsia="仿宋_GB2312" w:hAnsi="Times New Roman" w:cs="Times New Roman" w:hint="eastAsia"/>
          <w:sz w:val="32"/>
          <w:szCs w:val="32"/>
        </w:rPr>
        <w:t>53</w:t>
      </w: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人。另外，有离退休</w:t>
      </w:r>
      <w:r>
        <w:rPr>
          <w:rFonts w:ascii="仿宋_GB2312" w:eastAsia="仿宋_GB2312" w:hAnsi="Times New Roman" w:cs="Times New Roman" w:hint="eastAsia"/>
          <w:sz w:val="32"/>
          <w:szCs w:val="32"/>
        </w:rPr>
        <w:t>259</w:t>
      </w:r>
      <w:r>
        <w:rPr>
          <w:rFonts w:ascii="仿宋_GB2312" w:eastAsia="仿宋_GB2312" w:hAnsi="Times New Roman" w:cs="Times New Roman" w:hint="eastAsia"/>
          <w:sz w:val="32"/>
          <w:szCs w:val="32"/>
        </w:rPr>
        <w:t>人，聘用人员</w:t>
      </w:r>
      <w:r>
        <w:rPr>
          <w:rFonts w:ascii="仿宋_GB2312" w:eastAsia="仿宋_GB2312" w:hAnsi="Times New Roman" w:cs="Times New Roman" w:hint="eastAsia"/>
          <w:sz w:val="32"/>
          <w:szCs w:val="32"/>
        </w:rPr>
        <w:t>962</w:t>
      </w:r>
      <w:r>
        <w:rPr>
          <w:rFonts w:ascii="仿宋_GB2312" w:eastAsia="仿宋_GB2312" w:hAnsi="Times New Roman" w:cs="Times New Roman" w:hint="eastAsia"/>
          <w:sz w:val="32"/>
          <w:szCs w:val="32"/>
        </w:rPr>
        <w:t>人，后勤服务人员</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人。全院实有在在职人员</w:t>
      </w:r>
      <w:r>
        <w:rPr>
          <w:rFonts w:ascii="仿宋_GB2312" w:eastAsia="仿宋_GB2312" w:hAnsi="Times New Roman" w:cs="Times New Roman" w:hint="eastAsia"/>
          <w:sz w:val="32"/>
          <w:szCs w:val="32"/>
        </w:rPr>
        <w:t>149</w:t>
      </w:r>
      <w:r>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人。</w:t>
      </w:r>
    </w:p>
    <w:p w:rsidR="00801807" w:rsidRDefault="00F517AE">
      <w:pPr>
        <w:jc w:val="center"/>
        <w:rPr>
          <w:rFonts w:ascii="黑体" w:eastAsia="黑体" w:hAnsi="黑体" w:cs="Times New Roman"/>
          <w:sz w:val="32"/>
          <w:szCs w:val="32"/>
        </w:rPr>
      </w:pPr>
      <w:r>
        <w:rPr>
          <w:rFonts w:ascii="黑体" w:eastAsia="黑体" w:hAnsi="黑体" w:cs="Times New Roman" w:hint="eastAsia"/>
          <w:sz w:val="32"/>
          <w:szCs w:val="32"/>
        </w:rPr>
        <w:t>第二部分</w:t>
      </w:r>
      <w:r>
        <w:rPr>
          <w:rFonts w:ascii="黑体" w:eastAsia="黑体" w:hAnsi="黑体" w:cs="Times New Roman" w:hint="eastAsia"/>
          <w:sz w:val="32"/>
          <w:szCs w:val="32"/>
        </w:rPr>
        <w:t xml:space="preserve"> 2018</w:t>
      </w:r>
      <w:r>
        <w:rPr>
          <w:rFonts w:ascii="黑体" w:eastAsia="黑体" w:hAnsi="黑体" w:cs="Times New Roman" w:hint="eastAsia"/>
          <w:sz w:val="32"/>
          <w:szCs w:val="32"/>
        </w:rPr>
        <w:t>年部门预算情况说明</w:t>
      </w:r>
    </w:p>
    <w:p w:rsidR="00801807" w:rsidRDefault="00F517AE">
      <w:pPr>
        <w:ind w:firstLineChars="200" w:firstLine="640"/>
        <w:rPr>
          <w:rFonts w:ascii="黑体" w:eastAsia="黑体" w:hAnsi="黑体" w:cs="Times New Roman"/>
          <w:sz w:val="32"/>
          <w:szCs w:val="32"/>
        </w:rPr>
      </w:pPr>
      <w:r>
        <w:rPr>
          <w:rFonts w:ascii="黑体" w:eastAsia="黑体" w:hAnsi="黑体" w:cs="Times New Roman" w:hint="eastAsia"/>
          <w:sz w:val="32"/>
          <w:szCs w:val="32"/>
        </w:rPr>
        <w:t>一、</w:t>
      </w:r>
      <w:r>
        <w:rPr>
          <w:rFonts w:ascii="黑体" w:eastAsia="黑体" w:hAnsi="黑体" w:cs="Times New Roman" w:hint="eastAsia"/>
          <w:sz w:val="32"/>
          <w:szCs w:val="32"/>
        </w:rPr>
        <w:t>2018</w:t>
      </w:r>
      <w:r>
        <w:rPr>
          <w:rFonts w:ascii="黑体" w:eastAsia="黑体" w:hAnsi="黑体" w:cs="Times New Roman" w:hint="eastAsia"/>
          <w:sz w:val="32"/>
          <w:szCs w:val="32"/>
        </w:rPr>
        <w:t>年财政拨款收支预算情况的总体说明</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年财政拨款收支总预算</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万元。收入方面：一般公共预算财政拨款收入总计</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万元，其</w:t>
      </w:r>
      <w:r>
        <w:rPr>
          <w:rFonts w:ascii="仿宋_GB2312" w:eastAsia="仿宋_GB2312" w:hAnsi="Times New Roman" w:cs="Times New Roman" w:hint="eastAsia"/>
          <w:sz w:val="32"/>
          <w:szCs w:val="32"/>
        </w:rPr>
        <w:lastRenderedPageBreak/>
        <w:t>中，本年收入</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万元，年初结转</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万元；政府性基金预算财政拨款收入总计</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万元，其中，本年收入</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万元，年初结转</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万元。支出方面：一般公共服务支出</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万元，外交支出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万元，国防支出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万元，公共安全支出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万元，教育支出</w:t>
      </w:r>
      <w:r>
        <w:rPr>
          <w:rFonts w:ascii="仿宋_GB2312" w:eastAsia="仿宋_GB2312" w:hAnsi="Times New Roman" w:cs="Times New Roman" w:hint="eastAsia"/>
          <w:sz w:val="32"/>
          <w:szCs w:val="32"/>
        </w:rPr>
        <w:t>0</w:t>
      </w:r>
      <w:r w:rsidR="00440D63">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w:t>
      </w:r>
    </w:p>
    <w:p w:rsidR="00801807" w:rsidRDefault="00F517AE">
      <w:pPr>
        <w:ind w:firstLineChars="200" w:firstLine="640"/>
        <w:rPr>
          <w:rFonts w:ascii="黑体" w:eastAsia="黑体" w:hAnsi="黑体" w:cs="Times New Roman"/>
          <w:sz w:val="32"/>
          <w:szCs w:val="32"/>
        </w:rPr>
      </w:pPr>
      <w:r>
        <w:rPr>
          <w:rFonts w:ascii="黑体" w:eastAsia="黑体" w:hAnsi="黑体" w:cs="Times New Roman" w:hint="eastAsia"/>
          <w:sz w:val="32"/>
          <w:szCs w:val="32"/>
        </w:rPr>
        <w:t>二、</w:t>
      </w:r>
      <w:r>
        <w:rPr>
          <w:rFonts w:ascii="黑体" w:eastAsia="黑体" w:hAnsi="黑体" w:cs="Times New Roman" w:hint="eastAsia"/>
          <w:sz w:val="32"/>
          <w:szCs w:val="32"/>
        </w:rPr>
        <w:t>2018</w:t>
      </w:r>
      <w:r>
        <w:rPr>
          <w:rFonts w:ascii="黑体" w:eastAsia="黑体" w:hAnsi="黑体" w:cs="Times New Roman" w:hint="eastAsia"/>
          <w:sz w:val="32"/>
          <w:szCs w:val="32"/>
        </w:rPr>
        <w:t>年一般公共预算当年财政拨款情况说明</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（一）一般公共预算当年财政拨款规模变化情况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年，本部门一般公共预算当年财政拨款收入</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万元，比</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年预算数减少</w:t>
      </w:r>
      <w:r>
        <w:rPr>
          <w:rFonts w:ascii="仿宋_GB2312" w:eastAsia="仿宋_GB2312" w:hAnsi="Times New Roman" w:cs="Times New Roman" w:hint="eastAsia"/>
          <w:sz w:val="32"/>
          <w:szCs w:val="32"/>
        </w:rPr>
        <w:t>102.49</w:t>
      </w:r>
      <w:r>
        <w:rPr>
          <w:rFonts w:ascii="仿宋_GB2312" w:eastAsia="仿宋_GB2312" w:hAnsi="Times New Roman" w:cs="Times New Roman" w:hint="eastAsia"/>
          <w:sz w:val="32"/>
          <w:szCs w:val="32"/>
        </w:rPr>
        <w:t>万元，比</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年执行数减少</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.51</w:t>
      </w:r>
      <w:r>
        <w:rPr>
          <w:rFonts w:ascii="仿宋_GB2312" w:eastAsia="仿宋_GB2312" w:hAnsi="Times New Roman" w:cs="Times New Roman" w:hint="eastAsia"/>
          <w:sz w:val="32"/>
          <w:szCs w:val="32"/>
        </w:rPr>
        <w:t>万元。</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（二）一般公共预算当年财政拨款支出结构情况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年，本部门一般公共预算当年财政拨款支出</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万元，其中：一般公共服务支出</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；外交支出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；国防支出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；公共安全支出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；教育支出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（三）一般公共预算当年财政拨款支出具体情况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医疗卫生与</w:t>
      </w:r>
      <w:r>
        <w:rPr>
          <w:rFonts w:ascii="仿宋_GB2312" w:eastAsia="仿宋_GB2312" w:hAnsi="Times New Roman" w:cs="Times New Roman" w:hint="eastAsia"/>
          <w:sz w:val="32"/>
          <w:szCs w:val="32"/>
        </w:rPr>
        <w:t>计划生育支出</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①其他公立医院支出（科目编码：</w:t>
      </w:r>
      <w:r>
        <w:rPr>
          <w:rFonts w:ascii="仿宋_GB2312" w:eastAsia="仿宋_GB2312" w:hAnsi="Times New Roman" w:cs="Times New Roman" w:hint="eastAsia"/>
          <w:sz w:val="32"/>
          <w:szCs w:val="32"/>
        </w:rPr>
        <w:t>2100299</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年预算数为</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万元，比</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年预算数减少</w:t>
      </w:r>
      <w:r>
        <w:rPr>
          <w:rFonts w:ascii="仿宋_GB2312" w:eastAsia="仿宋_GB2312" w:hAnsi="Times New Roman" w:cs="Times New Roman" w:hint="eastAsia"/>
          <w:sz w:val="32"/>
          <w:szCs w:val="32"/>
        </w:rPr>
        <w:t>102.49</w:t>
      </w:r>
      <w:r>
        <w:rPr>
          <w:rFonts w:ascii="仿宋_GB2312" w:eastAsia="仿宋_GB2312" w:hAnsi="Times New Roman" w:cs="Times New Roman" w:hint="eastAsia"/>
          <w:sz w:val="32"/>
          <w:szCs w:val="32"/>
        </w:rPr>
        <w:t>万元，下降</w:t>
      </w:r>
      <w:r>
        <w:rPr>
          <w:rFonts w:ascii="仿宋_GB2312" w:eastAsia="仿宋_GB2312" w:hAnsi="Times New Roman" w:cs="Times New Roman" w:hint="eastAsia"/>
          <w:sz w:val="32"/>
          <w:szCs w:val="32"/>
        </w:rPr>
        <w:t>3.89</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，比</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年执行数减少</w:t>
      </w:r>
      <w:r>
        <w:rPr>
          <w:rFonts w:ascii="仿宋_GB2312" w:eastAsia="仿宋_GB2312" w:hAnsi="Times New Roman" w:cs="Times New Roman" w:hint="eastAsia"/>
          <w:sz w:val="32"/>
          <w:szCs w:val="32"/>
        </w:rPr>
        <w:t>3.54</w:t>
      </w:r>
      <w:r>
        <w:rPr>
          <w:rFonts w:ascii="仿宋_GB2312" w:eastAsia="仿宋_GB2312" w:hAnsi="Times New Roman" w:cs="Times New Roman" w:hint="eastAsia"/>
          <w:sz w:val="32"/>
          <w:szCs w:val="32"/>
        </w:rPr>
        <w:t>万元，下降</w:t>
      </w:r>
      <w:r>
        <w:rPr>
          <w:rFonts w:ascii="仿宋_GB2312" w:eastAsia="仿宋_GB2312" w:hAnsi="Times New Roman" w:cs="Times New Roman" w:hint="eastAsia"/>
          <w:sz w:val="32"/>
          <w:szCs w:val="32"/>
        </w:rPr>
        <w:t>0.14</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p>
    <w:p w:rsidR="00801807" w:rsidRDefault="00F517AE">
      <w:pPr>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Pr>
          <w:rFonts w:ascii="黑体" w:eastAsia="黑体" w:hAnsi="黑体" w:cs="Times New Roman" w:hint="eastAsia"/>
          <w:sz w:val="32"/>
          <w:szCs w:val="32"/>
        </w:rPr>
        <w:t>2018</w:t>
      </w:r>
      <w:r>
        <w:rPr>
          <w:rFonts w:ascii="黑体" w:eastAsia="黑体" w:hAnsi="黑体" w:cs="Times New Roman" w:hint="eastAsia"/>
          <w:sz w:val="32"/>
          <w:szCs w:val="32"/>
        </w:rPr>
        <w:t>年一般公共预算当年财政拨款基本支出情况说明</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本部门</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年一般公共预算当年财政拨款基本支出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万元，其中：人员经费</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万元，包括：工资福利支出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万元、对个人和家庭的补助</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万元；公用经费</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万元，包括：商品和服务支出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万元、资本性支出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万元、其他支出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w:t>
      </w:r>
    </w:p>
    <w:p w:rsidR="00801807" w:rsidRDefault="00F517AE">
      <w:pPr>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Pr>
          <w:rFonts w:ascii="黑体" w:eastAsia="黑体" w:hAnsi="黑体" w:cs="Times New Roman" w:hint="eastAsia"/>
          <w:sz w:val="32"/>
          <w:szCs w:val="32"/>
        </w:rPr>
        <w:t>2018</w:t>
      </w:r>
      <w:r>
        <w:rPr>
          <w:rFonts w:ascii="黑体" w:eastAsia="黑体" w:hAnsi="黑体" w:cs="Times New Roman" w:hint="eastAsia"/>
          <w:sz w:val="32"/>
          <w:szCs w:val="32"/>
        </w:rPr>
        <w:t>年一般公共预算“三公”经费</w:t>
      </w:r>
      <w:r>
        <w:rPr>
          <w:rFonts w:ascii="黑体" w:eastAsia="黑体" w:hAnsi="黑体" w:cs="Times New Roman" w:hint="eastAsia"/>
          <w:sz w:val="32"/>
          <w:szCs w:val="32"/>
        </w:rPr>
        <w:t>预算情况说明</w:t>
      </w:r>
    </w:p>
    <w:p w:rsidR="00440D63" w:rsidRPr="00440D63" w:rsidRDefault="00440D63" w:rsidP="00440D63">
      <w:pPr>
        <w:ind w:firstLineChars="200" w:firstLine="640"/>
        <w:rPr>
          <w:rFonts w:ascii="仿宋_GB2312" w:eastAsia="仿宋_GB2312" w:hAnsi="Times New Roman" w:cs="Times New Roman" w:hint="eastAsia"/>
          <w:sz w:val="32"/>
          <w:szCs w:val="32"/>
        </w:rPr>
      </w:pPr>
      <w:r w:rsidRPr="00440D63">
        <w:rPr>
          <w:rFonts w:ascii="仿宋_GB2312" w:eastAsia="仿宋_GB2312" w:hAnsi="Times New Roman" w:cs="Times New Roman" w:hint="eastAsia"/>
          <w:sz w:val="32"/>
          <w:szCs w:val="32"/>
        </w:rPr>
        <w:t>本部门2018年“三公”经费预算数为0万元，其中：因公出国（境）费用0万元，公车购置费0万元，公车运行维护费0万元，公务接待费0万元。本部门2018年计划出国组团数0个，0人次，计划出境组团数0个，0人次，计划购置公车0辆，公车</w:t>
      </w:r>
      <w:proofErr w:type="gramStart"/>
      <w:r w:rsidRPr="00440D63">
        <w:rPr>
          <w:rFonts w:ascii="仿宋_GB2312" w:eastAsia="仿宋_GB2312" w:hAnsi="Times New Roman" w:cs="Times New Roman" w:hint="eastAsia"/>
          <w:sz w:val="32"/>
          <w:szCs w:val="32"/>
        </w:rPr>
        <w:t>保有数</w:t>
      </w:r>
      <w:proofErr w:type="gramEnd"/>
      <w:r w:rsidRPr="00440D63">
        <w:rPr>
          <w:rFonts w:ascii="仿宋_GB2312" w:eastAsia="仿宋_GB2312" w:hAnsi="Times New Roman" w:cs="Times New Roman" w:hint="eastAsia"/>
          <w:sz w:val="32"/>
          <w:szCs w:val="32"/>
        </w:rPr>
        <w:t>为0辆。</w:t>
      </w:r>
    </w:p>
    <w:p w:rsidR="00440D63" w:rsidRPr="00440D63" w:rsidRDefault="00440D63" w:rsidP="00440D63">
      <w:pPr>
        <w:ind w:firstLineChars="200" w:firstLine="640"/>
        <w:rPr>
          <w:rFonts w:ascii="仿宋_GB2312" w:eastAsia="仿宋_GB2312" w:hAnsi="Times New Roman" w:cs="Times New Roman" w:hint="eastAsia"/>
          <w:sz w:val="32"/>
          <w:szCs w:val="32"/>
        </w:rPr>
      </w:pPr>
      <w:r w:rsidRPr="00440D63">
        <w:rPr>
          <w:rFonts w:ascii="仿宋_GB2312" w:eastAsia="仿宋_GB2312" w:hAnsi="Times New Roman" w:cs="Times New Roman" w:hint="eastAsia"/>
          <w:sz w:val="32"/>
          <w:szCs w:val="32"/>
        </w:rPr>
        <w:t>本部门2018年无“三公”经费预算安排，其中：因公出国（境）费用增加0万元，较上年预算无变化。公车购置费增加0万元，较上年预算无变化。公车运行维护费增加0万元，较上年预算无变化。公务接待费增加0万元，较上年预算无变化。</w:t>
      </w:r>
    </w:p>
    <w:p w:rsidR="00440D63" w:rsidRPr="00440D63" w:rsidRDefault="00440D63" w:rsidP="00440D63">
      <w:pPr>
        <w:ind w:firstLineChars="200" w:firstLine="640"/>
        <w:rPr>
          <w:rFonts w:ascii="黑体" w:eastAsia="黑体" w:hAnsi="黑体" w:cs="Times New Roman" w:hint="eastAsia"/>
          <w:sz w:val="32"/>
          <w:szCs w:val="32"/>
        </w:rPr>
      </w:pPr>
      <w:r w:rsidRPr="00440D63">
        <w:rPr>
          <w:rFonts w:ascii="黑体" w:eastAsia="黑体" w:hAnsi="黑体" w:cs="Times New Roman" w:hint="eastAsia"/>
          <w:sz w:val="32"/>
          <w:szCs w:val="32"/>
        </w:rPr>
        <w:t>五、2018年政府性基金预算当年财政拨款支出情况说明</w:t>
      </w:r>
    </w:p>
    <w:p w:rsidR="00801807" w:rsidRDefault="00440D63" w:rsidP="00440D63">
      <w:pPr>
        <w:ind w:firstLineChars="200" w:firstLine="640"/>
        <w:rPr>
          <w:rFonts w:ascii="仿宋_GB2312" w:eastAsia="仿宋_GB2312" w:hAnsi="Times New Roman" w:cs="Times New Roman" w:hint="eastAsia"/>
          <w:sz w:val="32"/>
          <w:szCs w:val="32"/>
        </w:rPr>
      </w:pPr>
      <w:r w:rsidRPr="00440D63">
        <w:rPr>
          <w:rFonts w:ascii="仿宋_GB2312" w:eastAsia="仿宋_GB2312" w:hAnsi="Times New Roman" w:cs="Times New Roman" w:hint="eastAsia"/>
          <w:sz w:val="32"/>
          <w:szCs w:val="32"/>
        </w:rPr>
        <w:t xml:space="preserve">2018年，本部门政府性基金预算当年财政拨款支出0万元，其中：科学技术支出0万元，占0%；文化体育与传媒支出0万元，占0%；社会保障和就业支出0万元，占0%；节能环保支出0万元，占0%；城乡社区支出0万元，占0%。本部门2018年没有使用政府性基金预算拨款安排的支出。  </w:t>
      </w:r>
    </w:p>
    <w:p w:rsidR="00440D63" w:rsidRDefault="00440D63" w:rsidP="00440D63">
      <w:pPr>
        <w:ind w:firstLineChars="200" w:firstLine="640"/>
        <w:rPr>
          <w:rFonts w:ascii="黑体" w:eastAsia="黑体" w:hAnsi="黑体" w:cs="Times New Roman"/>
          <w:sz w:val="32"/>
          <w:szCs w:val="32"/>
        </w:rPr>
      </w:pPr>
      <w:r w:rsidRPr="00440D63">
        <w:rPr>
          <w:rFonts w:ascii="黑体" w:eastAsia="黑体" w:hAnsi="黑体" w:cs="Times New Roman" w:hint="eastAsia"/>
          <w:sz w:val="32"/>
          <w:szCs w:val="32"/>
        </w:rPr>
        <w:t>六、2018年收支预算情况说明</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一）总体情况按照综合预算的原则，本部门所有收入和支出均纳入部门预算管理。收入包括：财政拨款收入、上级补助收入、事业收入、经营收入、附属单位上缴收入、其他收入、用事业基金弥补收支差额、年初结转和结余。支出包括：一般公共服务支出、外交支出、教育支出、文化体育与传媒支出、社会保障和就业支出、农林水支出、住房保障支出等。本部门</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年收支总预算</w:t>
      </w:r>
      <w:r>
        <w:rPr>
          <w:rFonts w:ascii="仿宋_GB2312" w:eastAsia="仿宋_GB2312" w:hAnsi="Times New Roman" w:cs="Times New Roman" w:hint="eastAsia"/>
          <w:sz w:val="32"/>
          <w:szCs w:val="32"/>
        </w:rPr>
        <w:t>77228.19</w:t>
      </w:r>
      <w:r>
        <w:rPr>
          <w:rFonts w:ascii="仿宋_GB2312" w:eastAsia="仿宋_GB2312" w:hAnsi="Times New Roman" w:cs="Times New Roman" w:hint="eastAsia"/>
          <w:sz w:val="32"/>
          <w:szCs w:val="32"/>
        </w:rPr>
        <w:t>万元。</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（二）收入预算情况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w:t>
      </w:r>
      <w:r>
        <w:rPr>
          <w:rFonts w:ascii="仿宋_GB2312" w:eastAsia="仿宋_GB2312" w:hAnsi="Times New Roman" w:cs="Times New Roman" w:hint="eastAsia"/>
          <w:sz w:val="32"/>
          <w:szCs w:val="32"/>
        </w:rPr>
        <w:t>部门</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年收入预算</w:t>
      </w:r>
      <w:r>
        <w:rPr>
          <w:rFonts w:ascii="仿宋_GB2312" w:eastAsia="仿宋_GB2312" w:hAnsi="Times New Roman" w:cs="Times New Roman" w:hint="eastAsia"/>
          <w:sz w:val="32"/>
          <w:szCs w:val="32"/>
        </w:rPr>
        <w:t>77228.19</w:t>
      </w:r>
      <w:r>
        <w:rPr>
          <w:rFonts w:ascii="仿宋_GB2312" w:eastAsia="仿宋_GB2312" w:hAnsi="Times New Roman" w:cs="Times New Roman" w:hint="eastAsia"/>
          <w:sz w:val="32"/>
          <w:szCs w:val="32"/>
        </w:rPr>
        <w:t>万元，其中：一般公共预算拨款收入</w:t>
      </w:r>
      <w:r>
        <w:rPr>
          <w:rFonts w:ascii="仿宋_GB2312" w:eastAsia="仿宋_GB2312" w:hAnsi="Times New Roman" w:cs="Times New Roman" w:hint="eastAsia"/>
          <w:sz w:val="32"/>
          <w:szCs w:val="32"/>
        </w:rPr>
        <w:t>2529.06</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3.28%</w:t>
      </w:r>
      <w:r>
        <w:rPr>
          <w:rFonts w:ascii="仿宋_GB2312" w:eastAsia="仿宋_GB2312" w:hAnsi="Times New Roman" w:cs="Times New Roman" w:hint="eastAsia"/>
          <w:sz w:val="32"/>
          <w:szCs w:val="32"/>
        </w:rPr>
        <w:t>；政府性基金预算拨款收入</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；上级补助收入</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；事业收入</w:t>
      </w:r>
      <w:r>
        <w:rPr>
          <w:rFonts w:ascii="仿宋_GB2312" w:eastAsia="仿宋_GB2312" w:hAnsi="Times New Roman" w:cs="Times New Roman" w:hint="eastAsia"/>
          <w:sz w:val="32"/>
          <w:szCs w:val="32"/>
        </w:rPr>
        <w:t>74265.73</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96.16%</w:t>
      </w:r>
      <w:r>
        <w:rPr>
          <w:rFonts w:ascii="仿宋_GB2312" w:eastAsia="仿宋_GB2312" w:hAnsi="Times New Roman" w:cs="Times New Roman" w:hint="eastAsia"/>
          <w:sz w:val="32"/>
          <w:szCs w:val="32"/>
        </w:rPr>
        <w:t>；经营收入</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；附属单位上缴收入</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；其他收入</w:t>
      </w:r>
      <w:r>
        <w:rPr>
          <w:rFonts w:ascii="仿宋_GB2312" w:eastAsia="仿宋_GB2312" w:hAnsi="Times New Roman" w:cs="Times New Roman" w:hint="eastAsia"/>
          <w:sz w:val="32"/>
          <w:szCs w:val="32"/>
        </w:rPr>
        <w:t>433.4</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0.56%</w:t>
      </w:r>
      <w:r>
        <w:rPr>
          <w:rFonts w:ascii="仿宋_GB2312" w:eastAsia="仿宋_GB2312" w:hAnsi="Times New Roman" w:cs="Times New Roman" w:hint="eastAsia"/>
          <w:sz w:val="32"/>
          <w:szCs w:val="32"/>
        </w:rPr>
        <w:t>；用事业基金弥补收支差额</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；年初结转和结余</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（三）支出预算情况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w:t>
      </w: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年支出预算</w:t>
      </w:r>
      <w:r>
        <w:rPr>
          <w:rFonts w:ascii="仿宋_GB2312" w:eastAsia="仿宋_GB2312" w:hAnsi="Times New Roman" w:cs="Times New Roman" w:hint="eastAsia"/>
          <w:sz w:val="32"/>
          <w:szCs w:val="32"/>
        </w:rPr>
        <w:t>77228.19</w:t>
      </w:r>
      <w:r>
        <w:rPr>
          <w:rFonts w:ascii="仿宋_GB2312" w:eastAsia="仿宋_GB2312" w:hAnsi="Times New Roman" w:cs="Times New Roman" w:hint="eastAsia"/>
          <w:sz w:val="32"/>
          <w:szCs w:val="32"/>
        </w:rPr>
        <w:t>万元，其中：基本支出</w:t>
      </w:r>
      <w:r>
        <w:rPr>
          <w:rFonts w:ascii="仿宋_GB2312" w:eastAsia="仿宋_GB2312" w:hAnsi="Times New Roman" w:cs="Times New Roman" w:hint="eastAsia"/>
          <w:sz w:val="32"/>
          <w:szCs w:val="32"/>
        </w:rPr>
        <w:t>71408.61</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9</w:t>
      </w:r>
      <w:r>
        <w:rPr>
          <w:rFonts w:ascii="仿宋_GB2312" w:eastAsia="仿宋_GB2312" w:hAnsi="Times New Roman" w:cs="Times New Roman" w:hint="eastAsia"/>
          <w:sz w:val="32"/>
          <w:szCs w:val="32"/>
        </w:rPr>
        <w:t>2.46</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；项目支出</w:t>
      </w:r>
      <w:r>
        <w:rPr>
          <w:rFonts w:ascii="仿宋_GB2312" w:eastAsia="仿宋_GB2312" w:hAnsi="Times New Roman" w:cs="Times New Roman" w:hint="eastAsia"/>
          <w:sz w:val="32"/>
          <w:szCs w:val="32"/>
        </w:rPr>
        <w:t>5819.58</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7.54</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；上缴上级支出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；经费支出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；对附属单位补助支出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；事业单位经营支出</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p>
    <w:p w:rsidR="00801807" w:rsidRDefault="00F517AE">
      <w:pPr>
        <w:ind w:firstLineChars="200" w:firstLine="640"/>
        <w:rPr>
          <w:rFonts w:ascii="黑体" w:eastAsia="黑体" w:hAnsi="黑体" w:cs="Times New Roman"/>
          <w:sz w:val="32"/>
          <w:szCs w:val="32"/>
        </w:rPr>
      </w:pPr>
      <w:r>
        <w:rPr>
          <w:rFonts w:ascii="黑体" w:eastAsia="黑体" w:hAnsi="黑体" w:cs="Times New Roman" w:hint="eastAsia"/>
          <w:sz w:val="32"/>
          <w:szCs w:val="32"/>
        </w:rPr>
        <w:t>七、其他重要事项的情况说明</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（一）机关运行经费</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年，本部门机关运行经费财政拨款预算</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主要是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（二）政府采购情况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本部门政府采购预算总额</w:t>
      </w:r>
      <w:r>
        <w:rPr>
          <w:rFonts w:ascii="仿宋_GB2312" w:eastAsia="仿宋_GB2312" w:hAnsi="Times New Roman" w:cs="Times New Roman" w:hint="eastAsia"/>
          <w:sz w:val="32"/>
          <w:szCs w:val="32"/>
        </w:rPr>
        <w:t>813.35</w:t>
      </w:r>
      <w:r>
        <w:rPr>
          <w:rFonts w:ascii="仿宋_GB2312" w:eastAsia="仿宋_GB2312" w:hAnsi="Times New Roman" w:cs="Times New Roman" w:hint="eastAsia"/>
          <w:sz w:val="32"/>
          <w:szCs w:val="32"/>
        </w:rPr>
        <w:t>万元，其中：政府采购货物预算</w:t>
      </w:r>
      <w:r>
        <w:rPr>
          <w:rFonts w:ascii="仿宋_GB2312" w:eastAsia="仿宋_GB2312" w:hAnsi="Times New Roman" w:cs="Times New Roman" w:hint="eastAsia"/>
          <w:sz w:val="32"/>
          <w:szCs w:val="32"/>
        </w:rPr>
        <w:t>813.35</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；政府采购工程预算</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；政府采购服务预算</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（三）国有资产占有使用情况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截止</w:t>
      </w:r>
      <w:r>
        <w:rPr>
          <w:rFonts w:ascii="仿宋_GB2312" w:eastAsia="仿宋_GB2312" w:hAnsi="Times New Roman" w:cs="Times New Roman" w:hint="eastAsia"/>
          <w:sz w:val="32"/>
          <w:szCs w:val="32"/>
        </w:rPr>
        <w:t>2017</w:t>
      </w:r>
      <w:r>
        <w:rPr>
          <w:rFonts w:ascii="仿宋_GB2312" w:eastAsia="仿宋_GB2312" w:hAnsi="Times New Roman" w:cs="Times New Roman" w:hint="eastAsia"/>
          <w:sz w:val="32"/>
          <w:szCs w:val="32"/>
        </w:rPr>
        <w:t>年底，本部门共有车辆</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辆，其中：一般公务用车</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辆、一般执法执勤用车</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辆、特种专业技术用车</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辆、其他用车</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辆。单位价值</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万元以上通用设备</w:t>
      </w:r>
      <w:r>
        <w:rPr>
          <w:rFonts w:ascii="仿宋_GB2312" w:eastAsia="仿宋_GB2312" w:hAnsi="Times New Roman" w:cs="Times New Roman" w:hint="eastAsia"/>
          <w:sz w:val="32"/>
          <w:szCs w:val="32"/>
        </w:rPr>
        <w:t>18</w:t>
      </w:r>
      <w:r>
        <w:rPr>
          <w:rFonts w:ascii="仿宋_GB2312" w:eastAsia="仿宋_GB2312" w:hAnsi="Times New Roman" w:cs="Times New Roman" w:hint="eastAsia"/>
          <w:sz w:val="32"/>
          <w:szCs w:val="32"/>
        </w:rPr>
        <w:t>台（套），单位价值</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万元以上专用设备</w:t>
      </w:r>
      <w:r>
        <w:rPr>
          <w:rFonts w:ascii="仿宋_GB2312" w:eastAsia="仿宋_GB2312" w:hAnsi="Times New Roman" w:cs="Times New Roman" w:hint="eastAsia"/>
          <w:sz w:val="32"/>
          <w:szCs w:val="32"/>
        </w:rPr>
        <w:t>69</w:t>
      </w:r>
      <w:r>
        <w:rPr>
          <w:rFonts w:ascii="仿宋_GB2312" w:eastAsia="仿宋_GB2312" w:hAnsi="Times New Roman" w:cs="Times New Roman" w:hint="eastAsia"/>
          <w:sz w:val="32"/>
          <w:szCs w:val="32"/>
        </w:rPr>
        <w:t>台（套）。</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年部门预算安排购置车辆</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辆，单位价值</w:t>
      </w:r>
      <w:r>
        <w:rPr>
          <w:rFonts w:ascii="仿宋_GB2312" w:eastAsia="仿宋_GB2312" w:hAnsi="Times New Roman" w:cs="Times New Roman" w:hint="eastAsia"/>
          <w:sz w:val="32"/>
          <w:szCs w:val="32"/>
        </w:rPr>
        <w:t>50</w:t>
      </w:r>
      <w:r>
        <w:rPr>
          <w:rFonts w:ascii="仿宋_GB2312" w:eastAsia="仿宋_GB2312" w:hAnsi="Times New Roman" w:cs="Times New Roman" w:hint="eastAsia"/>
          <w:sz w:val="32"/>
          <w:szCs w:val="32"/>
        </w:rPr>
        <w:t>万元以上通用设备</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台（套），单位价值</w:t>
      </w:r>
      <w:r>
        <w:rPr>
          <w:rFonts w:ascii="仿宋_GB2312" w:eastAsia="仿宋_GB2312" w:hAnsi="Times New Roman" w:cs="Times New Roman" w:hint="eastAsia"/>
          <w:sz w:val="32"/>
          <w:szCs w:val="32"/>
        </w:rPr>
        <w:t>100</w:t>
      </w:r>
      <w:r>
        <w:rPr>
          <w:rFonts w:ascii="仿宋_GB2312" w:eastAsia="仿宋_GB2312" w:hAnsi="Times New Roman" w:cs="Times New Roman" w:hint="eastAsia"/>
          <w:sz w:val="32"/>
          <w:szCs w:val="32"/>
        </w:rPr>
        <w:t>万元以上专用设备</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台（套）。</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（四）绩效目标设置情况</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2018</w:t>
      </w:r>
      <w:r>
        <w:rPr>
          <w:rFonts w:ascii="仿宋_GB2312" w:eastAsia="仿宋_GB2312" w:hAnsi="Times New Roman" w:cs="Times New Roman" w:hint="eastAsia"/>
          <w:sz w:val="32"/>
          <w:szCs w:val="32"/>
        </w:rPr>
        <w:t>年本部门实行绩效目标管理的项目共</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个，涉及一般公共预算当年拨款</w:t>
      </w:r>
      <w:r>
        <w:rPr>
          <w:rFonts w:ascii="仿宋_GB2312" w:eastAsia="仿宋_GB2312" w:hAnsi="Times New Roman" w:cs="Times New Roman" w:hint="eastAsia"/>
          <w:sz w:val="32"/>
          <w:szCs w:val="32"/>
        </w:rPr>
        <w:t>813.35</w:t>
      </w:r>
      <w:r>
        <w:rPr>
          <w:rFonts w:ascii="仿宋_GB2312" w:eastAsia="仿宋_GB2312" w:hAnsi="Times New Roman" w:cs="Times New Roman" w:hint="eastAsia"/>
          <w:sz w:val="32"/>
          <w:szCs w:val="32"/>
        </w:rPr>
        <w:t>万元，涉及政府性基金预算当</w:t>
      </w:r>
      <w:r>
        <w:rPr>
          <w:rFonts w:ascii="仿宋_GB2312" w:eastAsia="仿宋_GB2312" w:hAnsi="Times New Roman" w:cs="Times New Roman" w:hint="eastAsia"/>
          <w:sz w:val="32"/>
          <w:szCs w:val="32"/>
        </w:rPr>
        <w:lastRenderedPageBreak/>
        <w:t>年拨款</w:t>
      </w:r>
      <w:r>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w:t>
      </w:r>
    </w:p>
    <w:p w:rsidR="00801807" w:rsidRDefault="00F517AE">
      <w:pPr>
        <w:jc w:val="center"/>
        <w:rPr>
          <w:rFonts w:ascii="黑体" w:eastAsia="黑体" w:hAnsi="黑体" w:cs="Times New Roman"/>
          <w:sz w:val="32"/>
          <w:szCs w:val="32"/>
        </w:rPr>
      </w:pPr>
      <w:bookmarkStart w:id="0" w:name="4"/>
      <w:r>
        <w:rPr>
          <w:rFonts w:ascii="黑体" w:eastAsia="黑体" w:hAnsi="黑体" w:cs="Times New Roman" w:hint="eastAsia"/>
          <w:sz w:val="32"/>
          <w:szCs w:val="32"/>
        </w:rPr>
        <w:t>第三部分</w:t>
      </w:r>
      <w:r>
        <w:rPr>
          <w:rFonts w:ascii="黑体" w:eastAsia="黑体" w:hAnsi="黑体" w:cs="Times New Roman" w:hint="eastAsia"/>
          <w:sz w:val="32"/>
          <w:szCs w:val="32"/>
        </w:rPr>
        <w:t xml:space="preserve"> </w:t>
      </w:r>
      <w:r>
        <w:rPr>
          <w:rFonts w:ascii="黑体" w:eastAsia="黑体" w:hAnsi="黑体" w:cs="Times New Roman" w:hint="eastAsia"/>
          <w:sz w:val="32"/>
          <w:szCs w:val="32"/>
        </w:rPr>
        <w:t>专业名词解释</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财政拨款收入：指</w:t>
      </w:r>
      <w:r>
        <w:rPr>
          <w:rFonts w:ascii="仿宋_GB2312" w:eastAsia="仿宋_GB2312" w:hAnsi="Times New Roman" w:cs="Times New Roman" w:hint="eastAsia"/>
          <w:sz w:val="32"/>
          <w:szCs w:val="32"/>
        </w:rPr>
        <w:t>市</w:t>
      </w:r>
      <w:r>
        <w:rPr>
          <w:rFonts w:ascii="仿宋_GB2312" w:eastAsia="仿宋_GB2312" w:hAnsi="Times New Roman" w:cs="Times New Roman"/>
          <w:sz w:val="32"/>
          <w:szCs w:val="32"/>
        </w:rPr>
        <w:t>财政当年拨付的资金。</w:t>
      </w:r>
      <w:bookmarkEnd w:id="0"/>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事业收入：指事业单位开展专业业务活动及辅助活动所取得的收入。</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其他收入：指除上述</w:t>
      </w:r>
      <w:r>
        <w:rPr>
          <w:rFonts w:ascii="仿宋_GB2312" w:eastAsia="仿宋_GB2312" w:hAnsi="Times New Roman" w:cs="Times New Roman" w:hint="eastAsia"/>
          <w:sz w:val="32"/>
          <w:szCs w:val="32"/>
        </w:rPr>
        <w:t>“财政拨款收入”、“事业收入”等</w:t>
      </w:r>
      <w:r>
        <w:rPr>
          <w:rFonts w:ascii="仿宋_GB2312" w:eastAsia="仿宋_GB2312" w:hAnsi="Times New Roman" w:cs="Times New Roman"/>
          <w:sz w:val="32"/>
          <w:szCs w:val="32"/>
        </w:rPr>
        <w:t>以外的收入。</w:t>
      </w:r>
      <w:r>
        <w:rPr>
          <w:rFonts w:ascii="仿宋_GB2312" w:eastAsia="仿宋_GB2312" w:hAnsi="Times New Roman" w:cs="Times New Roman" w:hint="eastAsia"/>
          <w:sz w:val="32"/>
          <w:szCs w:val="32"/>
        </w:rPr>
        <w:t>主要是银行</w:t>
      </w:r>
      <w:r>
        <w:rPr>
          <w:rFonts w:ascii="仿宋_GB2312" w:eastAsia="仿宋_GB2312" w:hAnsi="Times New Roman" w:cs="Times New Roman"/>
          <w:sz w:val="32"/>
          <w:szCs w:val="32"/>
        </w:rPr>
        <w:t>存款利息收入等。</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用事业基金弥补收支差额：指事</w:t>
      </w:r>
      <w:r>
        <w:rPr>
          <w:rFonts w:ascii="仿宋_GB2312" w:eastAsia="仿宋_GB2312" w:hAnsi="Times New Roman" w:cs="Times New Roman"/>
          <w:sz w:val="32"/>
          <w:szCs w:val="32"/>
        </w:rPr>
        <w:t>业单位在当年的</w:t>
      </w:r>
      <w:r>
        <w:rPr>
          <w:rFonts w:ascii="仿宋_GB2312" w:eastAsia="仿宋_GB2312" w:hAnsi="Times New Roman" w:cs="Times New Roman" w:hint="eastAsia"/>
          <w:sz w:val="32"/>
          <w:szCs w:val="32"/>
        </w:rPr>
        <w:t>“财政拨款收入”、“事业收入”、“经营收入”、“其他收入”</w:t>
      </w:r>
      <w:r>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年初</w:t>
      </w:r>
      <w:r>
        <w:rPr>
          <w:rFonts w:ascii="仿宋_GB2312" w:eastAsia="仿宋_GB2312" w:hAnsi="Times New Roman" w:cs="Times New Roman"/>
          <w:sz w:val="32"/>
          <w:szCs w:val="32"/>
        </w:rPr>
        <w:t>结转和结余：指以前年度尚未完成、结转到本年按有关规定继续使用的资金。</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结余分配：指事业单位按规定提取的职工福利基金、事业基金和缴纳的所得税，以及建设单位按规定应交回的基本建设竣工项目结余资金。</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年末结转和结余：指本年度或以前年度预算安排、因客观条件发生变化无法按原计划实施，需要延迟</w:t>
      </w:r>
      <w:r>
        <w:rPr>
          <w:rFonts w:ascii="仿宋_GB2312" w:eastAsia="仿宋_GB2312" w:hAnsi="Times New Roman" w:cs="Times New Roman" w:hint="eastAsia"/>
          <w:sz w:val="32"/>
          <w:szCs w:val="32"/>
        </w:rPr>
        <w:t>到以后年度按有关规定继续使用的资金。</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基本支出：指为保障机构正常运转、完成日常工作任务而发生的人员支出和公用支出。</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项目支出：指在基本支出之外为完成特定行政任务和事业发展目标所发生的支出</w:t>
      </w:r>
      <w:r>
        <w:rPr>
          <w:rFonts w:ascii="仿宋_GB2312" w:eastAsia="仿宋_GB2312" w:hAnsi="Times New Roman" w:cs="Times New Roman" w:hint="eastAsia"/>
          <w:sz w:val="32"/>
          <w:szCs w:val="32"/>
        </w:rPr>
        <w:t>。</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经费：</w:t>
      </w:r>
      <w:r>
        <w:rPr>
          <w:rFonts w:ascii="仿宋_GB2312" w:eastAsia="仿宋_GB2312" w:hAnsi="Times New Roman" w:cs="Times New Roman" w:hint="eastAsia"/>
          <w:sz w:val="32"/>
          <w:szCs w:val="32"/>
        </w:rPr>
        <w:t>纳入市财政预决算管理的“三公”经费，</w:t>
      </w:r>
      <w:r>
        <w:rPr>
          <w:rFonts w:ascii="仿宋_GB2312" w:eastAsia="仿宋_GB2312" w:hAnsi="Times New Roman" w:cs="Times New Roman"/>
          <w:sz w:val="32"/>
          <w:szCs w:val="32"/>
        </w:rPr>
        <w:t>是指本部门</w:t>
      </w:r>
      <w:r>
        <w:rPr>
          <w:rFonts w:ascii="仿宋_GB2312" w:eastAsia="仿宋_GB2312" w:hAnsi="Times New Roman" w:cs="Times New Roman" w:hint="eastAsia"/>
          <w:sz w:val="32"/>
          <w:szCs w:val="32"/>
        </w:rPr>
        <w:t>用</w:t>
      </w:r>
      <w:r>
        <w:rPr>
          <w:rFonts w:ascii="仿宋_GB2312" w:eastAsia="仿宋_GB2312" w:hAnsi="Times New Roman" w:cs="Times New Roman"/>
          <w:sz w:val="32"/>
          <w:szCs w:val="32"/>
        </w:rPr>
        <w:t>财政拨款安排的因公出国（境）费、公务用车购置及运行费和公务接待费。其中，因公出国（境）</w:t>
      </w:r>
      <w:proofErr w:type="gramStart"/>
      <w:r>
        <w:rPr>
          <w:rFonts w:ascii="仿宋_GB2312" w:eastAsia="仿宋_GB2312" w:hAnsi="Times New Roman" w:cs="Times New Roman"/>
          <w:sz w:val="32"/>
          <w:szCs w:val="32"/>
        </w:rPr>
        <w:t>费</w:t>
      </w:r>
      <w:r>
        <w:rPr>
          <w:rFonts w:ascii="仿宋_GB2312" w:eastAsia="仿宋_GB2312" w:hAnsi="Times New Roman" w:cs="Times New Roman" w:hint="eastAsia"/>
          <w:sz w:val="32"/>
          <w:szCs w:val="32"/>
        </w:rPr>
        <w:t>反映</w:t>
      </w:r>
      <w:proofErr w:type="gramEnd"/>
      <w:r>
        <w:rPr>
          <w:rFonts w:ascii="仿宋_GB2312" w:eastAsia="仿宋_GB2312" w:hAnsi="Times New Roman" w:cs="Times New Roman"/>
          <w:sz w:val="32"/>
          <w:szCs w:val="32"/>
        </w:rPr>
        <w:t>单位公务出国（境）的</w:t>
      </w:r>
      <w:r>
        <w:rPr>
          <w:rFonts w:ascii="仿宋_GB2312" w:eastAsia="仿宋_GB2312" w:hAnsi="Times New Roman" w:cs="Times New Roman" w:hint="eastAsia"/>
          <w:sz w:val="32"/>
          <w:szCs w:val="32"/>
        </w:rPr>
        <w:t>国际</w:t>
      </w:r>
      <w:r>
        <w:rPr>
          <w:rFonts w:ascii="仿宋_GB2312" w:eastAsia="仿宋_GB2312" w:hAnsi="Times New Roman" w:cs="Times New Roman"/>
          <w:sz w:val="32"/>
          <w:szCs w:val="32"/>
        </w:rPr>
        <w:t>旅费、</w:t>
      </w:r>
      <w:r>
        <w:rPr>
          <w:rFonts w:ascii="仿宋_GB2312" w:eastAsia="仿宋_GB2312" w:hAnsi="Times New Roman" w:cs="Times New Roman" w:hint="eastAsia"/>
          <w:sz w:val="32"/>
          <w:szCs w:val="32"/>
        </w:rPr>
        <w:t>国外城市间交通费、住宿费、伙食费、培训费、公杂费</w:t>
      </w:r>
      <w:r>
        <w:rPr>
          <w:rFonts w:ascii="仿宋_GB2312" w:eastAsia="仿宋_GB2312" w:hAnsi="Times New Roman" w:cs="Times New Roman"/>
          <w:sz w:val="32"/>
          <w:szCs w:val="32"/>
        </w:rPr>
        <w:t>等支出；公务用车购置及运行</w:t>
      </w:r>
      <w:proofErr w:type="gramStart"/>
      <w:r>
        <w:rPr>
          <w:rFonts w:ascii="仿宋_GB2312" w:eastAsia="仿宋_GB2312" w:hAnsi="Times New Roman" w:cs="Times New Roman"/>
          <w:sz w:val="32"/>
          <w:szCs w:val="32"/>
        </w:rPr>
        <w:t>费</w:t>
      </w:r>
      <w:r>
        <w:rPr>
          <w:rFonts w:ascii="仿宋_GB2312" w:eastAsia="仿宋_GB2312" w:hAnsi="Times New Roman" w:cs="Times New Roman" w:hint="eastAsia"/>
          <w:sz w:val="32"/>
          <w:szCs w:val="32"/>
        </w:rPr>
        <w:t>反映</w:t>
      </w:r>
      <w:proofErr w:type="gramEnd"/>
      <w:r>
        <w:rPr>
          <w:rFonts w:ascii="仿宋_GB2312" w:eastAsia="仿宋_GB2312" w:hAnsi="Times New Roman" w:cs="Times New Roman"/>
          <w:sz w:val="32"/>
          <w:szCs w:val="32"/>
        </w:rPr>
        <w:t>单位公务用车</w:t>
      </w:r>
      <w:r>
        <w:rPr>
          <w:rFonts w:ascii="仿宋_GB2312" w:eastAsia="仿宋_GB2312" w:hAnsi="Times New Roman" w:cs="Times New Roman" w:hint="eastAsia"/>
          <w:sz w:val="32"/>
          <w:szCs w:val="32"/>
        </w:rPr>
        <w:t>车辆</w:t>
      </w:r>
      <w:r>
        <w:rPr>
          <w:rFonts w:ascii="仿宋_GB2312" w:eastAsia="仿宋_GB2312" w:hAnsi="Times New Roman" w:cs="Times New Roman"/>
          <w:sz w:val="32"/>
          <w:szCs w:val="32"/>
        </w:rPr>
        <w:t>购置</w:t>
      </w:r>
      <w:r>
        <w:rPr>
          <w:rFonts w:ascii="仿宋_GB2312" w:eastAsia="仿宋_GB2312" w:hAnsi="Times New Roman" w:cs="Times New Roman" w:hint="eastAsia"/>
          <w:sz w:val="32"/>
          <w:szCs w:val="32"/>
        </w:rPr>
        <w:t>支出（</w:t>
      </w:r>
      <w:proofErr w:type="gramStart"/>
      <w:r>
        <w:rPr>
          <w:rFonts w:ascii="仿宋_GB2312" w:eastAsia="仿宋_GB2312" w:hAnsi="Times New Roman" w:cs="Times New Roman" w:hint="eastAsia"/>
          <w:sz w:val="32"/>
          <w:szCs w:val="32"/>
        </w:rPr>
        <w:t>含车辆</w:t>
      </w:r>
      <w:proofErr w:type="gramEnd"/>
      <w:r>
        <w:rPr>
          <w:rFonts w:ascii="仿宋_GB2312" w:eastAsia="仿宋_GB2312" w:hAnsi="Times New Roman" w:cs="Times New Roman" w:hint="eastAsia"/>
          <w:sz w:val="32"/>
          <w:szCs w:val="32"/>
        </w:rPr>
        <w:t>购置税）</w:t>
      </w:r>
      <w:r>
        <w:rPr>
          <w:rFonts w:ascii="仿宋_GB2312" w:eastAsia="仿宋_GB2312" w:hAnsi="Times New Roman" w:cs="Times New Roman"/>
          <w:sz w:val="32"/>
          <w:szCs w:val="32"/>
        </w:rPr>
        <w:t>及租用费、燃料费、维修费、过路过桥费、保险费等支出；公务接待费指单位按规定开支的各类公务接待（含外宾接待）支出。</w:t>
      </w:r>
    </w:p>
    <w:p w:rsidR="00801807" w:rsidRDefault="00F517AE">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440D63" w:rsidRDefault="00440D63">
      <w:pPr>
        <w:jc w:val="center"/>
        <w:rPr>
          <w:rFonts w:ascii="黑体" w:eastAsia="黑体" w:hAnsi="黑体" w:cs="Times New Roman" w:hint="eastAsia"/>
          <w:sz w:val="32"/>
          <w:szCs w:val="32"/>
        </w:rPr>
      </w:pPr>
    </w:p>
    <w:p w:rsidR="00440D63" w:rsidRDefault="00440D63">
      <w:pPr>
        <w:jc w:val="center"/>
        <w:rPr>
          <w:rFonts w:ascii="黑体" w:eastAsia="黑体" w:hAnsi="黑体" w:cs="Times New Roman" w:hint="eastAsia"/>
          <w:sz w:val="32"/>
          <w:szCs w:val="32"/>
        </w:rPr>
      </w:pPr>
    </w:p>
    <w:p w:rsidR="00440D63" w:rsidRDefault="00440D63">
      <w:pPr>
        <w:jc w:val="center"/>
        <w:rPr>
          <w:rFonts w:ascii="黑体" w:eastAsia="黑体" w:hAnsi="黑体" w:cs="Times New Roman" w:hint="eastAsia"/>
          <w:sz w:val="32"/>
          <w:szCs w:val="32"/>
        </w:rPr>
      </w:pPr>
    </w:p>
    <w:p w:rsidR="00440D63" w:rsidRDefault="00440D63">
      <w:pPr>
        <w:jc w:val="center"/>
        <w:rPr>
          <w:rFonts w:ascii="黑体" w:eastAsia="黑体" w:hAnsi="黑体" w:cs="Times New Roman" w:hint="eastAsia"/>
          <w:sz w:val="32"/>
          <w:szCs w:val="32"/>
        </w:rPr>
      </w:pPr>
    </w:p>
    <w:p w:rsidR="00440D63" w:rsidRDefault="00440D63">
      <w:pPr>
        <w:jc w:val="center"/>
        <w:rPr>
          <w:rFonts w:ascii="黑体" w:eastAsia="黑体" w:hAnsi="黑体" w:cs="Times New Roman" w:hint="eastAsia"/>
          <w:sz w:val="32"/>
          <w:szCs w:val="32"/>
        </w:rPr>
      </w:pPr>
    </w:p>
    <w:p w:rsidR="00440D63" w:rsidRDefault="00440D63">
      <w:pPr>
        <w:jc w:val="center"/>
        <w:rPr>
          <w:rFonts w:ascii="黑体" w:eastAsia="黑体" w:hAnsi="黑体" w:cs="Times New Roman" w:hint="eastAsia"/>
          <w:sz w:val="32"/>
          <w:szCs w:val="32"/>
        </w:rPr>
      </w:pPr>
    </w:p>
    <w:p w:rsidR="00440D63" w:rsidRDefault="00440D63">
      <w:pPr>
        <w:jc w:val="center"/>
        <w:rPr>
          <w:rFonts w:ascii="黑体" w:eastAsia="黑体" w:hAnsi="黑体" w:cs="Times New Roman" w:hint="eastAsia"/>
          <w:sz w:val="32"/>
          <w:szCs w:val="32"/>
        </w:rPr>
      </w:pPr>
    </w:p>
    <w:p w:rsidR="00801807" w:rsidRDefault="00F517AE">
      <w:pPr>
        <w:jc w:val="center"/>
        <w:rPr>
          <w:rFonts w:ascii="黑体" w:eastAsia="黑体" w:hAnsi="黑体" w:cs="Times New Roman"/>
          <w:sz w:val="32"/>
          <w:szCs w:val="32"/>
        </w:rPr>
      </w:pPr>
      <w:bookmarkStart w:id="1" w:name="_GoBack"/>
      <w:bookmarkEnd w:id="1"/>
      <w:r>
        <w:rPr>
          <w:rFonts w:ascii="黑体" w:eastAsia="黑体" w:hAnsi="黑体" w:cs="Times New Roman" w:hint="eastAsia"/>
          <w:sz w:val="32"/>
          <w:szCs w:val="32"/>
        </w:rPr>
        <w:lastRenderedPageBreak/>
        <w:t>第四部分</w:t>
      </w:r>
      <w:r>
        <w:rPr>
          <w:rFonts w:ascii="黑体" w:eastAsia="黑体" w:hAnsi="黑体" w:cs="Times New Roman" w:hint="eastAsia"/>
          <w:sz w:val="32"/>
          <w:szCs w:val="32"/>
        </w:rPr>
        <w:t xml:space="preserve"> 2018</w:t>
      </w:r>
      <w:r>
        <w:rPr>
          <w:rFonts w:ascii="黑体" w:eastAsia="黑体" w:hAnsi="黑体" w:cs="Times New Roman" w:hint="eastAsia"/>
          <w:sz w:val="32"/>
          <w:szCs w:val="32"/>
        </w:rPr>
        <w:t>年部门预算表</w:t>
      </w:r>
    </w:p>
    <w:p w:rsidR="00801807" w:rsidRDefault="00F517AE">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请参见附件。</w:t>
      </w:r>
    </w:p>
    <w:tbl>
      <w:tblPr>
        <w:tblStyle w:val="a6"/>
        <w:tblW w:w="8522" w:type="dxa"/>
        <w:tblLayout w:type="fixed"/>
        <w:tblLook w:val="04A0" w:firstRow="1" w:lastRow="0" w:firstColumn="1" w:lastColumn="0" w:noHBand="0" w:noVBand="1"/>
      </w:tblPr>
      <w:tblGrid>
        <w:gridCol w:w="1668"/>
        <w:gridCol w:w="6854"/>
      </w:tblGrid>
      <w:tr w:rsidR="00801807">
        <w:tc>
          <w:tcPr>
            <w:tcW w:w="1668" w:type="dxa"/>
          </w:tcPr>
          <w:p w:rsidR="00801807" w:rsidRDefault="00F517AE">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801807" w:rsidRDefault="00F517AE">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801807">
        <w:tc>
          <w:tcPr>
            <w:tcW w:w="1668" w:type="dxa"/>
          </w:tcPr>
          <w:p w:rsidR="00801807" w:rsidRDefault="00F517AE">
            <w:pPr>
              <w:jc w:val="center"/>
              <w:rPr>
                <w:rFonts w:ascii="仿宋_GB2312" w:eastAsia="仿宋_GB2312" w:hAnsi="Times New Roman" w:cs="Times New Roman"/>
                <w:sz w:val="32"/>
                <w:szCs w:val="32"/>
              </w:rPr>
            </w:pPr>
            <w:proofErr w:type="gramStart"/>
            <w:r>
              <w:rPr>
                <w:rFonts w:ascii="仿宋_GB2312" w:eastAsia="仿宋_GB2312" w:hAnsi="Times New Roman" w:cs="Times New Roman" w:hint="eastAsia"/>
                <w:sz w:val="32"/>
                <w:szCs w:val="32"/>
              </w:rPr>
              <w:t>一</w:t>
            </w:r>
            <w:proofErr w:type="gramEnd"/>
          </w:p>
        </w:tc>
        <w:tc>
          <w:tcPr>
            <w:tcW w:w="6854" w:type="dxa"/>
          </w:tcPr>
          <w:p w:rsidR="00801807" w:rsidRDefault="00F517AE">
            <w:pPr>
              <w:spacing w:line="520" w:lineRule="exact"/>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财政拨款收支总表</w:t>
            </w:r>
          </w:p>
        </w:tc>
      </w:tr>
      <w:tr w:rsidR="00801807">
        <w:tc>
          <w:tcPr>
            <w:tcW w:w="1668" w:type="dxa"/>
          </w:tcPr>
          <w:p w:rsidR="00801807" w:rsidRDefault="00F517AE">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二</w:t>
            </w:r>
          </w:p>
        </w:tc>
        <w:tc>
          <w:tcPr>
            <w:tcW w:w="6854" w:type="dxa"/>
          </w:tcPr>
          <w:p w:rsidR="00801807" w:rsidRDefault="00F517AE">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一般公共预算支出表</w:t>
            </w:r>
          </w:p>
        </w:tc>
      </w:tr>
      <w:tr w:rsidR="00801807">
        <w:tc>
          <w:tcPr>
            <w:tcW w:w="1668" w:type="dxa"/>
          </w:tcPr>
          <w:p w:rsidR="00801807" w:rsidRDefault="00F517AE">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三</w:t>
            </w:r>
          </w:p>
        </w:tc>
        <w:tc>
          <w:tcPr>
            <w:tcW w:w="6854" w:type="dxa"/>
          </w:tcPr>
          <w:p w:rsidR="00801807" w:rsidRDefault="00F517AE">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一般公共预算基本支出表</w:t>
            </w:r>
          </w:p>
        </w:tc>
      </w:tr>
      <w:tr w:rsidR="00801807">
        <w:tc>
          <w:tcPr>
            <w:tcW w:w="1668" w:type="dxa"/>
          </w:tcPr>
          <w:p w:rsidR="00801807" w:rsidRDefault="00F517AE">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四</w:t>
            </w:r>
          </w:p>
        </w:tc>
        <w:tc>
          <w:tcPr>
            <w:tcW w:w="6854" w:type="dxa"/>
          </w:tcPr>
          <w:p w:rsidR="00801807" w:rsidRDefault="00F517AE">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一般公共预算项目支出表</w:t>
            </w:r>
          </w:p>
        </w:tc>
      </w:tr>
      <w:tr w:rsidR="00801807">
        <w:tc>
          <w:tcPr>
            <w:tcW w:w="1668" w:type="dxa"/>
          </w:tcPr>
          <w:p w:rsidR="00801807" w:rsidRDefault="00F517AE">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五</w:t>
            </w:r>
          </w:p>
        </w:tc>
        <w:tc>
          <w:tcPr>
            <w:tcW w:w="6854" w:type="dxa"/>
          </w:tcPr>
          <w:p w:rsidR="00801807" w:rsidRDefault="00F517AE">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一般公共预算“三公”经费支出表</w:t>
            </w:r>
          </w:p>
        </w:tc>
      </w:tr>
      <w:tr w:rsidR="00801807">
        <w:tc>
          <w:tcPr>
            <w:tcW w:w="1668" w:type="dxa"/>
          </w:tcPr>
          <w:p w:rsidR="00801807" w:rsidRDefault="00F517AE">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六</w:t>
            </w:r>
          </w:p>
        </w:tc>
        <w:tc>
          <w:tcPr>
            <w:tcW w:w="6854" w:type="dxa"/>
          </w:tcPr>
          <w:p w:rsidR="00801807" w:rsidRDefault="00F517AE">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政府性基金预算支出表</w:t>
            </w:r>
          </w:p>
        </w:tc>
      </w:tr>
      <w:tr w:rsidR="00801807">
        <w:tc>
          <w:tcPr>
            <w:tcW w:w="1668" w:type="dxa"/>
          </w:tcPr>
          <w:p w:rsidR="00801807" w:rsidRDefault="00F517AE">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七</w:t>
            </w:r>
          </w:p>
        </w:tc>
        <w:tc>
          <w:tcPr>
            <w:tcW w:w="6854" w:type="dxa"/>
          </w:tcPr>
          <w:p w:rsidR="00801807" w:rsidRDefault="00F517AE">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部门收支总表</w:t>
            </w:r>
          </w:p>
        </w:tc>
      </w:tr>
      <w:tr w:rsidR="00801807">
        <w:tc>
          <w:tcPr>
            <w:tcW w:w="1668" w:type="dxa"/>
          </w:tcPr>
          <w:p w:rsidR="00801807" w:rsidRDefault="00F517AE">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八</w:t>
            </w:r>
          </w:p>
        </w:tc>
        <w:tc>
          <w:tcPr>
            <w:tcW w:w="6854" w:type="dxa"/>
          </w:tcPr>
          <w:p w:rsidR="00801807" w:rsidRDefault="00F517AE">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部门收入总表</w:t>
            </w:r>
          </w:p>
        </w:tc>
      </w:tr>
      <w:tr w:rsidR="00801807">
        <w:tc>
          <w:tcPr>
            <w:tcW w:w="1668" w:type="dxa"/>
          </w:tcPr>
          <w:p w:rsidR="00801807" w:rsidRDefault="00F517AE">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w:t>
            </w:r>
          </w:p>
        </w:tc>
        <w:tc>
          <w:tcPr>
            <w:tcW w:w="6854" w:type="dxa"/>
          </w:tcPr>
          <w:p w:rsidR="00801807" w:rsidRDefault="00F517AE">
            <w:pPr>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部门支出总表</w:t>
            </w:r>
          </w:p>
        </w:tc>
      </w:tr>
    </w:tbl>
    <w:p w:rsidR="00801807" w:rsidRDefault="00801807">
      <w:pPr>
        <w:ind w:firstLineChars="200" w:firstLine="640"/>
        <w:rPr>
          <w:rFonts w:ascii="仿宋_GB2312" w:eastAsia="仿宋_GB2312" w:hAnsi="Times New Roman" w:cs="Times New Roman"/>
          <w:sz w:val="32"/>
          <w:szCs w:val="32"/>
        </w:rPr>
      </w:pPr>
    </w:p>
    <w:sectPr w:rsidR="00801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7AE" w:rsidRDefault="00F517AE" w:rsidP="00440D63">
      <w:r>
        <w:separator/>
      </w:r>
    </w:p>
  </w:endnote>
  <w:endnote w:type="continuationSeparator" w:id="0">
    <w:p w:rsidR="00F517AE" w:rsidRDefault="00F517AE" w:rsidP="0044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7AE" w:rsidRDefault="00F517AE" w:rsidP="00440D63">
      <w:r>
        <w:separator/>
      </w:r>
    </w:p>
  </w:footnote>
  <w:footnote w:type="continuationSeparator" w:id="0">
    <w:p w:rsidR="00F517AE" w:rsidRDefault="00F517AE" w:rsidP="00440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56"/>
    <w:rsid w:val="00033CB8"/>
    <w:rsid w:val="00111587"/>
    <w:rsid w:val="0016094E"/>
    <w:rsid w:val="00166637"/>
    <w:rsid w:val="00182B07"/>
    <w:rsid w:val="00200332"/>
    <w:rsid w:val="00212604"/>
    <w:rsid w:val="00275163"/>
    <w:rsid w:val="002F0AD2"/>
    <w:rsid w:val="003051A0"/>
    <w:rsid w:val="003274CE"/>
    <w:rsid w:val="0039558C"/>
    <w:rsid w:val="003C29CA"/>
    <w:rsid w:val="004043A7"/>
    <w:rsid w:val="00440D63"/>
    <w:rsid w:val="00472883"/>
    <w:rsid w:val="00596E10"/>
    <w:rsid w:val="005C5FB4"/>
    <w:rsid w:val="005D71EB"/>
    <w:rsid w:val="005F4756"/>
    <w:rsid w:val="00677047"/>
    <w:rsid w:val="00792A1F"/>
    <w:rsid w:val="007F477F"/>
    <w:rsid w:val="007F7006"/>
    <w:rsid w:val="00801807"/>
    <w:rsid w:val="00813306"/>
    <w:rsid w:val="008716C4"/>
    <w:rsid w:val="00877A09"/>
    <w:rsid w:val="00887C64"/>
    <w:rsid w:val="008D519D"/>
    <w:rsid w:val="009034D9"/>
    <w:rsid w:val="00906606"/>
    <w:rsid w:val="00981FBD"/>
    <w:rsid w:val="009856A4"/>
    <w:rsid w:val="00A75B3F"/>
    <w:rsid w:val="00AC116E"/>
    <w:rsid w:val="00B72E3C"/>
    <w:rsid w:val="00C85C36"/>
    <w:rsid w:val="00C9609D"/>
    <w:rsid w:val="00CA720C"/>
    <w:rsid w:val="00D1158D"/>
    <w:rsid w:val="00D1264E"/>
    <w:rsid w:val="00D173F7"/>
    <w:rsid w:val="00DB4E3A"/>
    <w:rsid w:val="00DD0495"/>
    <w:rsid w:val="00E268AD"/>
    <w:rsid w:val="00E746B6"/>
    <w:rsid w:val="00E81831"/>
    <w:rsid w:val="00EB2BF8"/>
    <w:rsid w:val="00EE2525"/>
    <w:rsid w:val="00F04A51"/>
    <w:rsid w:val="00F10851"/>
    <w:rsid w:val="00F10E88"/>
    <w:rsid w:val="00F517AE"/>
    <w:rsid w:val="00F848EB"/>
    <w:rsid w:val="00F85556"/>
    <w:rsid w:val="05321122"/>
    <w:rsid w:val="05D66689"/>
    <w:rsid w:val="11D24D73"/>
    <w:rsid w:val="14696DE6"/>
    <w:rsid w:val="24832455"/>
    <w:rsid w:val="266A4BB4"/>
    <w:rsid w:val="26D07E89"/>
    <w:rsid w:val="2FA94AAB"/>
    <w:rsid w:val="306B58EC"/>
    <w:rsid w:val="35B67895"/>
    <w:rsid w:val="5FE26ACF"/>
    <w:rsid w:val="68130E35"/>
    <w:rsid w:val="754E1DEC"/>
    <w:rsid w:val="789A6CB9"/>
    <w:rsid w:val="7F942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7">
    <w:name w:val="No Spacing"/>
    <w:link w:val="Char2"/>
    <w:uiPriority w:val="1"/>
    <w:qFormat/>
    <w:rPr>
      <w:sz w:val="22"/>
      <w:szCs w:val="22"/>
    </w:rPr>
  </w:style>
  <w:style w:type="character" w:customStyle="1" w:styleId="Char2">
    <w:name w:val="无间隔 Char"/>
    <w:basedOn w:val="a0"/>
    <w:link w:val="a7"/>
    <w:uiPriority w:val="1"/>
    <w:qFormat/>
    <w:rPr>
      <w:kern w:val="0"/>
      <w:sz w:val="22"/>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7">
    <w:name w:val="No Spacing"/>
    <w:link w:val="Char2"/>
    <w:uiPriority w:val="1"/>
    <w:qFormat/>
    <w:rPr>
      <w:sz w:val="22"/>
      <w:szCs w:val="22"/>
    </w:rPr>
  </w:style>
  <w:style w:type="character" w:customStyle="1" w:styleId="Char2">
    <w:name w:val="无间隔 Char"/>
    <w:basedOn w:val="a0"/>
    <w:link w:val="a7"/>
    <w:uiPriority w:val="1"/>
    <w:qFormat/>
    <w:rPr>
      <w:kern w:val="0"/>
      <w:sz w:val="22"/>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588</Words>
  <Characters>3352</Characters>
  <Application>Microsoft Office Word</Application>
  <DocSecurity>0</DocSecurity>
  <Lines>27</Lines>
  <Paragraphs>7</Paragraphs>
  <ScaleCrop>false</ScaleCrop>
  <Company>Chinese ORG</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2018年东莞市中医院部门预算</dc:title>
  <dc:creator>Chinese User</dc:creator>
  <cp:lastModifiedBy>周雁.</cp:lastModifiedBy>
  <cp:revision>45</cp:revision>
  <cp:lastPrinted>2018-01-26T08:52:00Z</cp:lastPrinted>
  <dcterms:created xsi:type="dcterms:W3CDTF">2017-01-12T10:15:00Z</dcterms:created>
  <dcterms:modified xsi:type="dcterms:W3CDTF">2018-02-13T08:54:00Z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